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18" w:rsidRPr="003906D4" w:rsidRDefault="008B2A18" w:rsidP="008B2A18">
      <w:pPr>
        <w:pStyle w:val="Body"/>
        <w:spacing w:line="240" w:lineRule="auto"/>
        <w:rPr>
          <w:rFonts w:ascii="Verdana" w:hAnsi="Verdana"/>
          <w:sz w:val="22"/>
          <w:szCs w:val="22"/>
        </w:rPr>
      </w:pPr>
    </w:p>
    <w:p w:rsidR="007C594C" w:rsidRPr="003906D4" w:rsidRDefault="007C594C" w:rsidP="008B2A18">
      <w:pPr>
        <w:pStyle w:val="Body"/>
        <w:spacing w:line="240" w:lineRule="auto"/>
        <w:rPr>
          <w:rFonts w:ascii="Verdana" w:hAnsi="Verdana"/>
          <w:sz w:val="22"/>
          <w:szCs w:val="22"/>
        </w:rPr>
      </w:pPr>
    </w:p>
    <w:p w:rsidR="00457959" w:rsidRDefault="00457959" w:rsidP="0045795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tbl>
      <w:tblPr>
        <w:tblStyle w:val="TableGrid"/>
        <w:tblW w:w="0" w:type="auto"/>
        <w:tblBorders>
          <w:top w:val="none" w:sz="0" w:space="0" w:color="auto"/>
          <w:left w:val="none" w:sz="0" w:space="0" w:color="auto"/>
          <w:bottom w:val="thickThinSmallGap" w:sz="24" w:space="0" w:color="008000"/>
          <w:right w:val="none" w:sz="0" w:space="0" w:color="auto"/>
          <w:insideH w:val="none" w:sz="0" w:space="0" w:color="auto"/>
          <w:insideV w:val="none" w:sz="0" w:space="0" w:color="auto"/>
        </w:tblBorders>
        <w:tblLook w:val="04A0" w:firstRow="1" w:lastRow="0" w:firstColumn="1" w:lastColumn="0" w:noHBand="0" w:noVBand="1"/>
      </w:tblPr>
      <w:tblGrid>
        <w:gridCol w:w="6345"/>
        <w:gridCol w:w="243"/>
        <w:gridCol w:w="2642"/>
      </w:tblGrid>
      <w:tr w:rsidR="00457959" w:rsidRPr="003906D4" w:rsidTr="005C45F3">
        <w:trPr>
          <w:trHeight w:val="309"/>
        </w:trPr>
        <w:tc>
          <w:tcPr>
            <w:tcW w:w="6345" w:type="dxa"/>
            <w:shd w:val="clear" w:color="auto" w:fill="E6E6E6"/>
          </w:tcPr>
          <w:p w:rsidR="00457959" w:rsidRPr="00DD595E" w:rsidRDefault="00457959" w:rsidP="00457959">
            <w:pPr>
              <w:pStyle w:val="Body"/>
              <w:spacing w:after="40" w:line="240" w:lineRule="auto"/>
              <w:rPr>
                <w:rFonts w:ascii="Verdana" w:hAnsi="Verdana"/>
                <w:b/>
                <w:sz w:val="18"/>
                <w:szCs w:val="18"/>
              </w:rPr>
            </w:pPr>
            <w:r w:rsidRPr="003906D4">
              <w:rPr>
                <w:rFonts w:ascii="Verdana" w:hAnsi="Verdana"/>
                <w:b/>
                <w:sz w:val="18"/>
                <w:szCs w:val="18"/>
              </w:rPr>
              <w:t xml:space="preserve">Course </w:t>
            </w:r>
            <w:r>
              <w:rPr>
                <w:rFonts w:ascii="Verdana" w:hAnsi="Verdana"/>
                <w:b/>
                <w:sz w:val="18"/>
                <w:szCs w:val="18"/>
              </w:rPr>
              <w:t>Number and Name: MTH207, Discrete Structures I</w:t>
            </w:r>
          </w:p>
        </w:tc>
        <w:tc>
          <w:tcPr>
            <w:tcW w:w="243" w:type="dxa"/>
            <w:vMerge w:val="restart"/>
          </w:tcPr>
          <w:p w:rsidR="00457959" w:rsidRPr="003906D4" w:rsidRDefault="00457959" w:rsidP="005C45F3">
            <w:pPr>
              <w:pStyle w:val="Body"/>
              <w:spacing w:after="40" w:line="240" w:lineRule="auto"/>
              <w:rPr>
                <w:rFonts w:ascii="Verdana" w:hAnsi="Verdana"/>
                <w:sz w:val="18"/>
                <w:szCs w:val="18"/>
              </w:rPr>
            </w:pPr>
          </w:p>
        </w:tc>
        <w:tc>
          <w:tcPr>
            <w:tcW w:w="2642" w:type="dxa"/>
            <w:vMerge w:val="restart"/>
            <w:vAlign w:val="center"/>
          </w:tcPr>
          <w:p w:rsidR="00457959" w:rsidRPr="003906D4" w:rsidRDefault="00457959" w:rsidP="005C45F3">
            <w:pPr>
              <w:pStyle w:val="Body"/>
              <w:spacing w:after="40" w:line="240" w:lineRule="auto"/>
              <w:rPr>
                <w:rFonts w:ascii="Verdana" w:hAnsi="Verdana"/>
                <w:sz w:val="48"/>
                <w:szCs w:val="48"/>
              </w:rPr>
            </w:pPr>
            <w:r>
              <w:rPr>
                <w:rFonts w:ascii="Verdana" w:hAnsi="Verdana" w:cs="Arial"/>
                <w:b/>
                <w:sz w:val="48"/>
                <w:szCs w:val="48"/>
              </w:rPr>
              <w:t>MTH207</w:t>
            </w:r>
          </w:p>
        </w:tc>
      </w:tr>
      <w:tr w:rsidR="00457959" w:rsidRPr="003906D4" w:rsidTr="005C45F3">
        <w:trPr>
          <w:trHeight w:val="310"/>
        </w:trPr>
        <w:tc>
          <w:tcPr>
            <w:tcW w:w="6345" w:type="dxa"/>
            <w:shd w:val="clear" w:color="auto" w:fill="E6E6E6"/>
          </w:tcPr>
          <w:p w:rsidR="00457959" w:rsidRPr="003906D4" w:rsidRDefault="00457959" w:rsidP="00082401">
            <w:pPr>
              <w:pStyle w:val="Body"/>
              <w:spacing w:after="40" w:line="240" w:lineRule="auto"/>
              <w:rPr>
                <w:rFonts w:ascii="Verdana" w:hAnsi="Verdana"/>
                <w:b/>
                <w:sz w:val="18"/>
                <w:szCs w:val="18"/>
              </w:rPr>
            </w:pPr>
            <w:r>
              <w:rPr>
                <w:rFonts w:ascii="Verdana" w:hAnsi="Verdana"/>
                <w:b/>
                <w:sz w:val="18"/>
                <w:szCs w:val="18"/>
              </w:rPr>
              <w:t>Class T</w:t>
            </w:r>
            <w:r w:rsidRPr="003906D4">
              <w:rPr>
                <w:rFonts w:ascii="Verdana" w:hAnsi="Verdana"/>
                <w:b/>
                <w:sz w:val="18"/>
                <w:szCs w:val="18"/>
              </w:rPr>
              <w:t>ime</w:t>
            </w:r>
            <w:r w:rsidR="005E2BD1">
              <w:rPr>
                <w:rFonts w:ascii="Verdana" w:hAnsi="Verdana"/>
                <w:b/>
                <w:sz w:val="18"/>
                <w:szCs w:val="18"/>
              </w:rPr>
              <w:t xml:space="preserve"> and Location: MWF </w:t>
            </w:r>
            <w:r w:rsidR="00082401">
              <w:rPr>
                <w:rFonts w:ascii="Verdana" w:hAnsi="Verdana"/>
                <w:b/>
                <w:sz w:val="18"/>
                <w:szCs w:val="18"/>
              </w:rPr>
              <w:t>10</w:t>
            </w:r>
            <w:r w:rsidR="005E2BD1">
              <w:rPr>
                <w:rFonts w:ascii="Verdana" w:hAnsi="Verdana"/>
                <w:b/>
                <w:sz w:val="18"/>
                <w:szCs w:val="18"/>
              </w:rPr>
              <w:t>:00-</w:t>
            </w:r>
            <w:r w:rsidR="00082401">
              <w:rPr>
                <w:rFonts w:ascii="Verdana" w:hAnsi="Verdana"/>
                <w:b/>
                <w:sz w:val="18"/>
                <w:szCs w:val="18"/>
              </w:rPr>
              <w:t>10</w:t>
            </w:r>
            <w:r>
              <w:rPr>
                <w:rFonts w:ascii="Verdana" w:hAnsi="Verdana"/>
                <w:b/>
                <w:sz w:val="18"/>
                <w:szCs w:val="18"/>
              </w:rPr>
              <w:t xml:space="preserve">:50, </w:t>
            </w:r>
            <w:r w:rsidR="00A85161">
              <w:rPr>
                <w:rFonts w:ascii="Verdana" w:hAnsi="Verdana"/>
                <w:b/>
                <w:sz w:val="18"/>
                <w:szCs w:val="18"/>
              </w:rPr>
              <w:t>BB905</w:t>
            </w:r>
          </w:p>
        </w:tc>
        <w:tc>
          <w:tcPr>
            <w:tcW w:w="243" w:type="dxa"/>
            <w:vMerge/>
          </w:tcPr>
          <w:p w:rsidR="00457959" w:rsidRPr="003906D4" w:rsidRDefault="00457959" w:rsidP="005C45F3">
            <w:pPr>
              <w:pStyle w:val="Body"/>
              <w:spacing w:after="40" w:line="240" w:lineRule="auto"/>
              <w:rPr>
                <w:rFonts w:ascii="Verdana" w:hAnsi="Verdana"/>
                <w:sz w:val="18"/>
                <w:szCs w:val="18"/>
              </w:rPr>
            </w:pPr>
          </w:p>
        </w:tc>
        <w:tc>
          <w:tcPr>
            <w:tcW w:w="2642" w:type="dxa"/>
            <w:vMerge/>
            <w:vAlign w:val="center"/>
          </w:tcPr>
          <w:p w:rsidR="00457959" w:rsidRDefault="00457959" w:rsidP="005C45F3">
            <w:pPr>
              <w:pStyle w:val="Body"/>
              <w:spacing w:after="40" w:line="240" w:lineRule="auto"/>
              <w:rPr>
                <w:rFonts w:ascii="Verdana" w:hAnsi="Verdana" w:cs="Arial"/>
                <w:b/>
                <w:sz w:val="48"/>
                <w:szCs w:val="48"/>
              </w:rPr>
            </w:pPr>
          </w:p>
        </w:tc>
      </w:tr>
      <w:tr w:rsidR="00457959" w:rsidRPr="003906D4" w:rsidTr="005C45F3">
        <w:trPr>
          <w:trHeight w:val="310"/>
        </w:trPr>
        <w:tc>
          <w:tcPr>
            <w:tcW w:w="6345" w:type="dxa"/>
            <w:shd w:val="clear" w:color="auto" w:fill="E6E6E6"/>
          </w:tcPr>
          <w:p w:rsidR="00457959" w:rsidRPr="003906D4" w:rsidRDefault="00457959" w:rsidP="005C45F3">
            <w:pPr>
              <w:pStyle w:val="Body"/>
              <w:spacing w:after="40" w:line="240" w:lineRule="auto"/>
              <w:rPr>
                <w:rFonts w:ascii="Verdana" w:hAnsi="Verdana"/>
                <w:b/>
                <w:sz w:val="18"/>
                <w:szCs w:val="18"/>
              </w:rPr>
            </w:pPr>
            <w:r>
              <w:rPr>
                <w:rFonts w:ascii="Verdana" w:hAnsi="Verdana"/>
                <w:b/>
                <w:sz w:val="18"/>
                <w:szCs w:val="18"/>
              </w:rPr>
              <w:t>Credits and Contact Hours: 3 Credits, 3 sessions per week</w:t>
            </w:r>
          </w:p>
        </w:tc>
        <w:tc>
          <w:tcPr>
            <w:tcW w:w="2885" w:type="dxa"/>
            <w:gridSpan w:val="2"/>
          </w:tcPr>
          <w:p w:rsidR="00457959" w:rsidRPr="003906D4" w:rsidRDefault="00457959" w:rsidP="005C45F3">
            <w:pPr>
              <w:pStyle w:val="Body"/>
              <w:spacing w:after="40" w:line="240" w:lineRule="auto"/>
              <w:rPr>
                <w:rFonts w:ascii="Verdana" w:hAnsi="Verdana"/>
                <w:sz w:val="18"/>
                <w:szCs w:val="18"/>
              </w:rPr>
            </w:pPr>
          </w:p>
        </w:tc>
      </w:tr>
      <w:tr w:rsidR="00457959" w:rsidRPr="003906D4" w:rsidTr="005C45F3">
        <w:trPr>
          <w:trHeight w:val="310"/>
        </w:trPr>
        <w:tc>
          <w:tcPr>
            <w:tcW w:w="6345" w:type="dxa"/>
            <w:shd w:val="clear" w:color="auto" w:fill="E6E6E6"/>
          </w:tcPr>
          <w:p w:rsidR="00457959" w:rsidRPr="003906D4" w:rsidRDefault="00457959" w:rsidP="007C79E5">
            <w:pPr>
              <w:pStyle w:val="Body"/>
              <w:spacing w:after="40" w:line="240" w:lineRule="auto"/>
              <w:rPr>
                <w:rFonts w:ascii="Verdana" w:hAnsi="Verdana"/>
                <w:b/>
                <w:sz w:val="18"/>
                <w:szCs w:val="18"/>
              </w:rPr>
            </w:pPr>
            <w:r w:rsidRPr="002B715A">
              <w:rPr>
                <w:rFonts w:ascii="Verdana" w:hAnsi="Verdana"/>
                <w:b/>
                <w:sz w:val="18"/>
                <w:szCs w:val="18"/>
              </w:rPr>
              <w:t>Semester</w:t>
            </w:r>
            <w:r>
              <w:rPr>
                <w:rFonts w:ascii="Verdana" w:hAnsi="Verdana"/>
                <w:b/>
                <w:sz w:val="18"/>
                <w:szCs w:val="18"/>
              </w:rPr>
              <w:t>:</w:t>
            </w:r>
            <w:r w:rsidR="007C79E5">
              <w:rPr>
                <w:rFonts w:ascii="Verdana" w:hAnsi="Verdana"/>
                <w:b/>
                <w:sz w:val="18"/>
                <w:szCs w:val="18"/>
              </w:rPr>
              <w:t xml:space="preserve"> Fall</w:t>
            </w:r>
            <w:r>
              <w:rPr>
                <w:rFonts w:ascii="Verdana" w:hAnsi="Verdana"/>
                <w:b/>
                <w:sz w:val="18"/>
                <w:szCs w:val="18"/>
              </w:rPr>
              <w:t xml:space="preserve"> 201</w:t>
            </w:r>
            <w:r w:rsidR="005E2BD1">
              <w:rPr>
                <w:rFonts w:ascii="Verdana" w:hAnsi="Verdana"/>
                <w:b/>
                <w:sz w:val="18"/>
                <w:szCs w:val="18"/>
              </w:rPr>
              <w:t>4</w:t>
            </w:r>
          </w:p>
        </w:tc>
        <w:tc>
          <w:tcPr>
            <w:tcW w:w="2885" w:type="dxa"/>
            <w:gridSpan w:val="2"/>
          </w:tcPr>
          <w:p w:rsidR="00457959" w:rsidRPr="003906D4" w:rsidRDefault="00457959" w:rsidP="005C45F3">
            <w:pPr>
              <w:pStyle w:val="Body"/>
              <w:spacing w:after="40" w:line="240" w:lineRule="auto"/>
              <w:rPr>
                <w:rFonts w:ascii="Verdana" w:hAnsi="Verdana"/>
                <w:sz w:val="18"/>
                <w:szCs w:val="18"/>
              </w:rPr>
            </w:pPr>
          </w:p>
        </w:tc>
      </w:tr>
    </w:tbl>
    <w:p w:rsidR="00457959" w:rsidRDefault="00457959" w:rsidP="0045795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276395" w:rsidRPr="005E2BD1" w:rsidRDefault="00276395" w:rsidP="00276395">
      <w:pPr>
        <w:pStyle w:val="SBody"/>
        <w:shd w:val="clear" w:color="auto" w:fill="E6E6E6"/>
        <w:spacing w:before="0" w:after="0" w:line="240" w:lineRule="auto"/>
        <w:rPr>
          <w:rFonts w:ascii="Verdana" w:hAnsi="Verdana"/>
          <w:smallCaps/>
          <w:sz w:val="20"/>
          <w:szCs w:val="20"/>
        </w:rPr>
      </w:pPr>
      <w:r w:rsidRPr="005E2BD1">
        <w:rPr>
          <w:rFonts w:ascii="Verdana" w:hAnsi="Verdana"/>
          <w:smallCaps/>
          <w:sz w:val="20"/>
          <w:szCs w:val="20"/>
        </w:rPr>
        <w:t xml:space="preserve">Instructor name: </w:t>
      </w:r>
      <w:r w:rsidR="005E2BD1">
        <w:rPr>
          <w:rFonts w:ascii="Verdana" w:hAnsi="Verdana"/>
          <w:smallCaps/>
          <w:sz w:val="20"/>
          <w:szCs w:val="20"/>
        </w:rPr>
        <w:t xml:space="preserve"> </w:t>
      </w:r>
      <w:r w:rsidR="007C79E5">
        <w:rPr>
          <w:rFonts w:ascii="Verdana" w:hAnsi="Verdana"/>
          <w:smallCaps/>
          <w:sz w:val="20"/>
          <w:szCs w:val="20"/>
        </w:rPr>
        <w:t>Samer Habre</w:t>
      </w:r>
      <w:r w:rsidRPr="005E2BD1">
        <w:rPr>
          <w:rFonts w:ascii="Verdana" w:hAnsi="Verdana"/>
          <w:i/>
          <w:sz w:val="20"/>
          <w:szCs w:val="20"/>
        </w:rPr>
        <w:t xml:space="preserve"> </w:t>
      </w:r>
    </w:p>
    <w:p w:rsidR="00276395" w:rsidRPr="0027432B" w:rsidRDefault="00276395" w:rsidP="005E2BD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27432B">
        <w:rPr>
          <w:rFonts w:ascii="Verdana" w:hAnsi="Verdana"/>
          <w:b/>
          <w:bCs/>
          <w:sz w:val="18"/>
        </w:rPr>
        <w:t xml:space="preserve">Email: </w:t>
      </w:r>
      <w:r w:rsidR="007C79E5" w:rsidRPr="0027432B">
        <w:rPr>
          <w:rFonts w:ascii="Verdana" w:hAnsi="Verdana"/>
          <w:b/>
          <w:bCs/>
          <w:sz w:val="18"/>
        </w:rPr>
        <w:t>shabre</w:t>
      </w:r>
      <w:r w:rsidRPr="0027432B">
        <w:rPr>
          <w:rFonts w:ascii="Verdana" w:hAnsi="Verdana"/>
          <w:b/>
          <w:bCs/>
          <w:sz w:val="18"/>
        </w:rPr>
        <w:t>@lau.edu.lb</w:t>
      </w:r>
    </w:p>
    <w:p w:rsidR="00276395" w:rsidRPr="0027432B" w:rsidRDefault="00276395" w:rsidP="0027639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Cs/>
          <w:sz w:val="18"/>
          <w:lang w:val="fr-FR"/>
        </w:rPr>
      </w:pPr>
      <w:r w:rsidRPr="0027432B">
        <w:rPr>
          <w:rFonts w:ascii="Verdana" w:hAnsi="Verdana"/>
          <w:b/>
          <w:bCs/>
          <w:iCs/>
          <w:sz w:val="18"/>
          <w:lang w:val="fr-FR"/>
        </w:rPr>
        <w:t xml:space="preserve">Office: </w:t>
      </w:r>
      <w:r w:rsidR="00A85161" w:rsidRPr="0027432B">
        <w:rPr>
          <w:rFonts w:ascii="Verdana" w:hAnsi="Verdana"/>
          <w:b/>
          <w:bCs/>
          <w:iCs/>
          <w:sz w:val="18"/>
          <w:lang w:val="fr-FR"/>
        </w:rPr>
        <w:t>Nicol 307C</w:t>
      </w:r>
    </w:p>
    <w:p w:rsidR="00276395" w:rsidRPr="0027432B" w:rsidRDefault="00276395" w:rsidP="003D151D">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sz w:val="18"/>
        </w:rPr>
      </w:pPr>
      <w:r w:rsidRPr="0027432B">
        <w:rPr>
          <w:rFonts w:ascii="Verdana" w:hAnsi="Verdana"/>
          <w:b/>
          <w:bCs/>
          <w:sz w:val="18"/>
        </w:rPr>
        <w:t>Office Hours:</w:t>
      </w:r>
      <w:r w:rsidR="003D151D" w:rsidRPr="0027432B">
        <w:rPr>
          <w:rFonts w:ascii="Verdana" w:hAnsi="Verdana"/>
          <w:b/>
          <w:bCs/>
          <w:sz w:val="18"/>
        </w:rPr>
        <w:t xml:space="preserve"> </w:t>
      </w:r>
      <w:r w:rsidR="0027432B" w:rsidRPr="0027432B">
        <w:rPr>
          <w:rFonts w:ascii="Verdana" w:hAnsi="Verdana"/>
          <w:b/>
          <w:bCs/>
          <w:sz w:val="18"/>
        </w:rPr>
        <w:t>MWF: 9:00 – 10:00 &amp; 12:00 – 1:00</w:t>
      </w:r>
      <w:r w:rsidR="0027432B">
        <w:rPr>
          <w:rFonts w:ascii="Verdana" w:hAnsi="Verdana"/>
          <w:b/>
          <w:bCs/>
          <w:sz w:val="18"/>
        </w:rPr>
        <w:t xml:space="preserve"> (or by appointment)</w:t>
      </w:r>
      <w:bookmarkStart w:id="0" w:name="_GoBack"/>
      <w:bookmarkEnd w:id="0"/>
      <w:r w:rsidR="0027432B" w:rsidRPr="0027432B">
        <w:rPr>
          <w:rFonts w:ascii="Verdana" w:hAnsi="Verdana"/>
          <w:b/>
          <w:bCs/>
          <w:sz w:val="18"/>
        </w:rPr>
        <w:t xml:space="preserve"> </w:t>
      </w:r>
    </w:p>
    <w:p w:rsidR="002352A2" w:rsidRDefault="002352A2"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8B2A18" w:rsidRPr="003906D4"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 xml:space="preserve">Current Catalog Description </w:t>
      </w:r>
    </w:p>
    <w:p w:rsidR="00B545AC" w:rsidRPr="003906D4" w:rsidRDefault="00B545A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2352A2" w:rsidRDefault="00276395"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This course covers the foundations of discrete mathematics as they apply to computer science. The course is an introduction to propositional logic, logical connectives, truth tables, normal forms, validity, predicate logic, universal and existential quantification, and the limitations of predicate logic. In addition, the following topics are covered: the number system, the Euclidean algorithm, proof techniques, mathematical induction, counting arguments, permutations and combinations, discrete probability and binomial coefficients, sets, functions, relations, matrices, and Boolean Algebra.</w:t>
      </w:r>
    </w:p>
    <w:p w:rsidR="00082401" w:rsidRPr="00082401" w:rsidRDefault="00082401"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F770F6" w:rsidRPr="003906D4" w:rsidRDefault="00F770F6" w:rsidP="00F770F6">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Course Prerequisite/Co</w:t>
      </w:r>
      <w:r w:rsidR="00005415">
        <w:rPr>
          <w:rFonts w:ascii="Verdana" w:hAnsi="Verdana"/>
          <w:smallCaps/>
          <w:sz w:val="18"/>
          <w:szCs w:val="24"/>
        </w:rPr>
        <w:t>-</w:t>
      </w:r>
      <w:r>
        <w:rPr>
          <w:rFonts w:ascii="Verdana" w:hAnsi="Verdana"/>
          <w:smallCaps/>
          <w:sz w:val="18"/>
          <w:szCs w:val="24"/>
        </w:rPr>
        <w:t>requis</w:t>
      </w:r>
      <w:r w:rsidR="00082401">
        <w:rPr>
          <w:rFonts w:ascii="Verdana" w:hAnsi="Verdana"/>
          <w:smallCaps/>
          <w:sz w:val="18"/>
          <w:szCs w:val="24"/>
        </w:rPr>
        <w:t>i</w:t>
      </w:r>
      <w:r>
        <w:rPr>
          <w:rFonts w:ascii="Verdana" w:hAnsi="Verdana"/>
          <w:smallCaps/>
          <w:sz w:val="18"/>
          <w:szCs w:val="24"/>
        </w:rPr>
        <w:t>te</w:t>
      </w:r>
      <w:r w:rsidR="00276395">
        <w:rPr>
          <w:rFonts w:ascii="Verdana" w:hAnsi="Verdana"/>
          <w:smallCaps/>
          <w:sz w:val="18"/>
          <w:szCs w:val="24"/>
        </w:rPr>
        <w:t>:  none</w:t>
      </w:r>
    </w:p>
    <w:p w:rsidR="00B545AC" w:rsidRDefault="00B545A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3068A" w:rsidRPr="003906D4" w:rsidRDefault="0003068A" w:rsidP="0003068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Textbook</w:t>
      </w:r>
      <w:r>
        <w:rPr>
          <w:rFonts w:ascii="Verdana" w:hAnsi="Verdana"/>
          <w:b/>
          <w:smallCaps/>
          <w:sz w:val="18"/>
        </w:rPr>
        <w:t xml:space="preserve"> and References</w:t>
      </w:r>
      <w:r w:rsidR="00276395">
        <w:rPr>
          <w:rFonts w:ascii="Verdana" w:hAnsi="Verdana"/>
          <w:b/>
          <w:smallCaps/>
          <w:sz w:val="18"/>
        </w:rPr>
        <w:t xml:space="preserve">: </w:t>
      </w:r>
      <w:r w:rsidR="00276395" w:rsidRPr="00AE42CB">
        <w:rPr>
          <w:b/>
          <w:bCs/>
          <w:lang w:val="en-GB"/>
        </w:rPr>
        <w:t>Discrete Math</w:t>
      </w:r>
      <w:r w:rsidR="005E2BD1">
        <w:rPr>
          <w:b/>
          <w:bCs/>
          <w:lang w:val="en-GB"/>
        </w:rPr>
        <w:t>ematics and Its Applications, (7</w:t>
      </w:r>
      <w:r w:rsidR="00276395" w:rsidRPr="00AE42CB">
        <w:rPr>
          <w:b/>
          <w:bCs/>
          <w:lang w:val="en-GB"/>
        </w:rPr>
        <w:t>th edition)</w:t>
      </w:r>
      <w:r w:rsidR="00276395">
        <w:rPr>
          <w:rFonts w:ascii="Verdana" w:hAnsi="Verdana"/>
          <w:sz w:val="18"/>
          <w:szCs w:val="18"/>
        </w:rPr>
        <w:t>,</w:t>
      </w:r>
      <w:r w:rsidR="00276395" w:rsidRPr="00B7338B">
        <w:rPr>
          <w:rFonts w:ascii="Verdana" w:hAnsi="Verdana"/>
          <w:sz w:val="18"/>
          <w:szCs w:val="18"/>
        </w:rPr>
        <w:t xml:space="preserve"> </w:t>
      </w:r>
      <w:r w:rsidR="00276395" w:rsidRPr="00AE42CB">
        <w:rPr>
          <w:lang w:val="en-GB"/>
        </w:rPr>
        <w:t>by</w:t>
      </w:r>
      <w:r w:rsidR="00276395" w:rsidRPr="00B7338B">
        <w:rPr>
          <w:rFonts w:ascii="Verdana" w:hAnsi="Verdana"/>
          <w:sz w:val="18"/>
          <w:szCs w:val="18"/>
        </w:rPr>
        <w:t xml:space="preserve"> </w:t>
      </w:r>
      <w:r w:rsidR="00276395">
        <w:rPr>
          <w:i/>
          <w:iCs/>
          <w:lang w:val="en-GB"/>
        </w:rPr>
        <w:t>Kenneth H. Rosen, Mcgraw-Hill</w:t>
      </w:r>
    </w:p>
    <w:p w:rsidR="0003068A" w:rsidRPr="003906D4" w:rsidRDefault="0003068A"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2352A2" w:rsidRPr="00534FA5"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8"/>
          <w:szCs w:val="18"/>
        </w:rPr>
      </w:pPr>
      <w:r w:rsidRPr="00534FA5">
        <w:rPr>
          <w:rFonts w:ascii="Verdana" w:hAnsi="Verdana"/>
          <w:b/>
          <w:bCs/>
          <w:smallCaps/>
          <w:sz w:val="18"/>
          <w:szCs w:val="18"/>
        </w:rPr>
        <w:t>Course Type</w:t>
      </w:r>
      <w:r w:rsidR="00276395">
        <w:rPr>
          <w:rFonts w:ascii="Verdana" w:hAnsi="Verdana"/>
          <w:b/>
          <w:bCs/>
          <w:smallCaps/>
          <w:sz w:val="18"/>
          <w:szCs w:val="18"/>
        </w:rPr>
        <w:t>: required</w:t>
      </w: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711"/>
        <w:gridCol w:w="1080"/>
        <w:gridCol w:w="1133"/>
        <w:gridCol w:w="2038"/>
        <w:gridCol w:w="992"/>
      </w:tblGrid>
      <w:tr w:rsidR="00534FA5" w:rsidTr="00534FA5">
        <w:trPr>
          <w:jc w:val="center"/>
        </w:trPr>
        <w:tc>
          <w:tcPr>
            <w:tcW w:w="1472" w:type="dxa"/>
          </w:tcPr>
          <w:p w:rsidR="00534FA5" w:rsidRDefault="00534FA5" w:rsidP="00534FA5">
            <w:pPr>
              <w:tabs>
                <w:tab w:val="left" w:pos="-288"/>
              </w:tabs>
              <w:rPr>
                <w:rFonts w:ascii="Verdana" w:hAnsi="Verdana"/>
                <w:sz w:val="18"/>
              </w:rPr>
            </w:pPr>
          </w:p>
        </w:tc>
        <w:tc>
          <w:tcPr>
            <w:tcW w:w="711" w:type="dxa"/>
          </w:tcPr>
          <w:p w:rsidR="00534FA5" w:rsidRDefault="00534FA5" w:rsidP="00534FA5">
            <w:pPr>
              <w:tabs>
                <w:tab w:val="left" w:pos="-288"/>
              </w:tabs>
              <w:rPr>
                <w:rFonts w:ascii="Verdana" w:hAnsi="Verdana"/>
                <w:sz w:val="18"/>
              </w:rPr>
            </w:pPr>
          </w:p>
        </w:tc>
        <w:tc>
          <w:tcPr>
            <w:tcW w:w="1080" w:type="dxa"/>
          </w:tcPr>
          <w:p w:rsidR="00534FA5" w:rsidRDefault="00534FA5" w:rsidP="00534FA5">
            <w:pPr>
              <w:tabs>
                <w:tab w:val="left" w:pos="-288"/>
              </w:tabs>
              <w:rPr>
                <w:rFonts w:ascii="Verdana" w:hAnsi="Verdana"/>
                <w:sz w:val="18"/>
              </w:rPr>
            </w:pPr>
          </w:p>
        </w:tc>
        <w:tc>
          <w:tcPr>
            <w:tcW w:w="1133" w:type="dxa"/>
          </w:tcPr>
          <w:p w:rsidR="00534FA5" w:rsidRDefault="00534FA5" w:rsidP="00534FA5">
            <w:pPr>
              <w:tabs>
                <w:tab w:val="left" w:pos="-288"/>
              </w:tabs>
              <w:rPr>
                <w:rFonts w:ascii="Verdana" w:hAnsi="Verdana"/>
                <w:sz w:val="18"/>
              </w:rPr>
            </w:pPr>
          </w:p>
        </w:tc>
        <w:tc>
          <w:tcPr>
            <w:tcW w:w="2038" w:type="dxa"/>
          </w:tcPr>
          <w:p w:rsidR="00534FA5" w:rsidRDefault="00534FA5" w:rsidP="00534FA5">
            <w:pPr>
              <w:tabs>
                <w:tab w:val="left" w:pos="-288"/>
              </w:tabs>
              <w:rPr>
                <w:rFonts w:ascii="Verdana" w:hAnsi="Verdana"/>
                <w:sz w:val="18"/>
              </w:rPr>
            </w:pPr>
          </w:p>
        </w:tc>
        <w:tc>
          <w:tcPr>
            <w:tcW w:w="992" w:type="dxa"/>
          </w:tcPr>
          <w:p w:rsidR="00534FA5" w:rsidRDefault="00534FA5" w:rsidP="00534FA5">
            <w:pPr>
              <w:tabs>
                <w:tab w:val="left" w:pos="-288"/>
              </w:tabs>
              <w:rPr>
                <w:rFonts w:ascii="Verdana" w:hAnsi="Verdana"/>
                <w:sz w:val="18"/>
              </w:rPr>
            </w:pPr>
          </w:p>
        </w:tc>
      </w:tr>
    </w:tbl>
    <w:p w:rsidR="002352A2" w:rsidRDefault="002352A2" w:rsidP="00F72674">
      <w:pPr>
        <w:tabs>
          <w:tab w:val="left" w:pos="-288"/>
        </w:tabs>
        <w:rPr>
          <w:rFonts w:ascii="Verdana" w:hAnsi="Verdana"/>
          <w:sz w:val="18"/>
        </w:rPr>
      </w:pPr>
    </w:p>
    <w:p w:rsidR="003C4374" w:rsidRPr="003906D4" w:rsidRDefault="003C4374" w:rsidP="003C437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3906D4">
        <w:rPr>
          <w:rFonts w:ascii="Verdana" w:hAnsi="Verdana"/>
          <w:b/>
          <w:smallCaps/>
          <w:sz w:val="18"/>
        </w:rPr>
        <w:t>Course Learning Outcomes</w:t>
      </w:r>
    </w:p>
    <w:p w:rsidR="003C4374" w:rsidRPr="00082401" w:rsidRDefault="003C4374" w:rsidP="0008240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p>
    <w:p w:rsidR="005E0414" w:rsidRPr="00082401" w:rsidRDefault="005E0414" w:rsidP="0008240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Students who pass this module should have the following skills:</w:t>
      </w:r>
    </w:p>
    <w:p w:rsidR="005E0414" w:rsidRPr="00082401" w:rsidRDefault="005E0414" w:rsidP="00082401">
      <w:pPr>
        <w:pStyle w:val="ListParagraph"/>
        <w:numPr>
          <w:ilvl w:val="0"/>
          <w:numId w:val="12"/>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Do truth tables</w:t>
      </w:r>
    </w:p>
    <w:p w:rsidR="005E0414" w:rsidRPr="00082401" w:rsidRDefault="005E0414" w:rsidP="00082401">
      <w:pPr>
        <w:pStyle w:val="ListParagraph"/>
        <w:numPr>
          <w:ilvl w:val="0"/>
          <w:numId w:val="12"/>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Do a proof by induction</w:t>
      </w:r>
    </w:p>
    <w:p w:rsidR="005E0414" w:rsidRPr="00082401" w:rsidRDefault="005E0414" w:rsidP="00082401">
      <w:pPr>
        <w:pStyle w:val="ListParagraph"/>
        <w:numPr>
          <w:ilvl w:val="0"/>
          <w:numId w:val="12"/>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Identify equivalence relations</w:t>
      </w:r>
    </w:p>
    <w:p w:rsidR="005E0414" w:rsidRPr="00082401" w:rsidRDefault="005E0414" w:rsidP="00082401">
      <w:pPr>
        <w:pStyle w:val="ListParagraph"/>
        <w:numPr>
          <w:ilvl w:val="0"/>
          <w:numId w:val="12"/>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Be familiar with Boolean algebra</w:t>
      </w:r>
    </w:p>
    <w:p w:rsidR="005E0414" w:rsidRPr="00082401" w:rsidRDefault="005E0414" w:rsidP="00082401">
      <w:pPr>
        <w:pStyle w:val="ListParagraph"/>
        <w:numPr>
          <w:ilvl w:val="0"/>
          <w:numId w:val="12"/>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Be familiar with various counting techniques such as the Pigeonhole Principle</w:t>
      </w:r>
    </w:p>
    <w:p w:rsidR="005E0414" w:rsidRPr="00082401" w:rsidRDefault="005E0414" w:rsidP="00082401">
      <w:pPr>
        <w:pStyle w:val="ListParagraph"/>
        <w:numPr>
          <w:ilvl w:val="0"/>
          <w:numId w:val="12"/>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Represent any real number in any radix</w:t>
      </w:r>
    </w:p>
    <w:p w:rsidR="005E0414" w:rsidRPr="00082401" w:rsidRDefault="005E0414" w:rsidP="00082401">
      <w:pPr>
        <w:pStyle w:val="ListParagraph"/>
        <w:numPr>
          <w:ilvl w:val="0"/>
          <w:numId w:val="12"/>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Be familiar with the definition of countable and uncountable sets</w:t>
      </w:r>
    </w:p>
    <w:p w:rsidR="008B2A18" w:rsidRPr="003906D4"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rPr>
      </w:pPr>
    </w:p>
    <w:p w:rsidR="00E21E02" w:rsidRDefault="00E21E02" w:rsidP="00E21E02">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Course Grading and Performance Criteria</w:t>
      </w:r>
    </w:p>
    <w:tbl>
      <w:tblPr>
        <w:tblpPr w:leftFromText="180" w:rightFromText="180" w:vertAnchor="text" w:horzAnchor="margin" w:tblpXSpec="center" w:tblpY="499"/>
        <w:tblW w:w="297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973"/>
        <w:gridCol w:w="1510"/>
      </w:tblGrid>
      <w:tr w:rsidR="005E0414" w:rsidRPr="001A0F73" w:rsidTr="005C45F3">
        <w:trPr>
          <w:trHeight w:val="285"/>
        </w:trPr>
        <w:tc>
          <w:tcPr>
            <w:tcW w:w="3623" w:type="pct"/>
            <w:shd w:val="clear" w:color="auto" w:fill="auto"/>
            <w:vAlign w:val="center"/>
          </w:tcPr>
          <w:p w:rsidR="00082401" w:rsidRPr="00082401" w:rsidRDefault="005E0414" w:rsidP="0008240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3 exams</w:t>
            </w:r>
          </w:p>
          <w:p w:rsidR="00082401" w:rsidRPr="00082401" w:rsidRDefault="00082401" w:rsidP="0008240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 xml:space="preserve">Exam 1: </w:t>
            </w:r>
            <w:r w:rsidR="0037416F">
              <w:rPr>
                <w:rStyle w:val="Cat-CourseSwitches"/>
                <w:rFonts w:ascii="Gill Sans" w:hAnsi="Gill Sans" w:cs="SyntaxLTStd-Roman"/>
                <w:sz w:val="20"/>
              </w:rPr>
              <w:t>October 20, 2014</w:t>
            </w:r>
          </w:p>
          <w:p w:rsidR="00082401" w:rsidRPr="00082401" w:rsidRDefault="00082401" w:rsidP="0008240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Exam 2:</w:t>
            </w:r>
            <w:r w:rsidR="0037416F">
              <w:rPr>
                <w:rStyle w:val="Cat-CourseSwitches"/>
                <w:rFonts w:ascii="Gill Sans" w:hAnsi="Gill Sans" w:cs="SyntaxLTStd-Roman"/>
                <w:sz w:val="20"/>
              </w:rPr>
              <w:t xml:space="preserve"> November 19, 2014</w:t>
            </w:r>
          </w:p>
          <w:p w:rsidR="00082401" w:rsidRPr="00082401" w:rsidRDefault="00082401" w:rsidP="0008240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Exam 3</w:t>
            </w:r>
            <w:r w:rsidR="0037416F">
              <w:rPr>
                <w:rStyle w:val="Cat-CourseSwitches"/>
                <w:rFonts w:ascii="Gill Sans" w:hAnsi="Gill Sans" w:cs="SyntaxLTStd-Roman"/>
                <w:sz w:val="20"/>
              </w:rPr>
              <w:t>: December 17, 2014</w:t>
            </w:r>
          </w:p>
        </w:tc>
        <w:tc>
          <w:tcPr>
            <w:tcW w:w="1377" w:type="pct"/>
            <w:shd w:val="clear" w:color="auto" w:fill="auto"/>
            <w:vAlign w:val="center"/>
          </w:tcPr>
          <w:p w:rsidR="005E0414" w:rsidRPr="00082401" w:rsidRDefault="005E0414" w:rsidP="0008240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70%</w:t>
            </w:r>
          </w:p>
        </w:tc>
      </w:tr>
      <w:tr w:rsidR="005E0414" w:rsidRPr="001A0F73" w:rsidTr="005C45F3">
        <w:trPr>
          <w:trHeight w:val="285"/>
        </w:trPr>
        <w:tc>
          <w:tcPr>
            <w:tcW w:w="3623" w:type="pct"/>
            <w:shd w:val="clear" w:color="auto" w:fill="auto"/>
            <w:vAlign w:val="center"/>
          </w:tcPr>
          <w:p w:rsidR="005E0414" w:rsidRPr="00082401" w:rsidRDefault="005E0414" w:rsidP="0037416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Final exam (</w:t>
            </w:r>
            <w:r w:rsidR="0037416F">
              <w:rPr>
                <w:rStyle w:val="Cat-CourseSwitches"/>
                <w:rFonts w:ascii="Gill Sans" w:hAnsi="Gill Sans" w:cs="SyntaxLTStd-Roman"/>
                <w:sz w:val="20"/>
              </w:rPr>
              <w:t>c</w:t>
            </w:r>
            <w:r w:rsidRPr="00082401">
              <w:rPr>
                <w:rStyle w:val="Cat-CourseSwitches"/>
                <w:rFonts w:ascii="Gill Sans" w:hAnsi="Gill Sans" w:cs="SyntaxLTStd-Roman"/>
                <w:sz w:val="20"/>
              </w:rPr>
              <w:t>umulative)</w:t>
            </w:r>
          </w:p>
        </w:tc>
        <w:tc>
          <w:tcPr>
            <w:tcW w:w="1377" w:type="pct"/>
            <w:shd w:val="clear" w:color="auto" w:fill="auto"/>
            <w:vAlign w:val="center"/>
          </w:tcPr>
          <w:p w:rsidR="005E0414" w:rsidRPr="00082401" w:rsidRDefault="005E0414" w:rsidP="0008240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Cat-CourseSwitches"/>
                <w:rFonts w:ascii="Gill Sans" w:hAnsi="Gill Sans" w:cs="SyntaxLTStd-Roman"/>
                <w:sz w:val="20"/>
              </w:rPr>
            </w:pPr>
            <w:r w:rsidRPr="00082401">
              <w:rPr>
                <w:rStyle w:val="Cat-CourseSwitches"/>
                <w:rFonts w:ascii="Gill Sans" w:hAnsi="Gill Sans" w:cs="SyntaxLTStd-Roman"/>
                <w:sz w:val="20"/>
              </w:rPr>
              <w:t>30 %</w:t>
            </w:r>
          </w:p>
        </w:tc>
      </w:tr>
    </w:tbl>
    <w:p w:rsidR="005E0414" w:rsidRDefault="005E0414" w:rsidP="005E0414">
      <w:pPr>
        <w:tabs>
          <w:tab w:val="left" w:pos="720"/>
          <w:tab w:val="left" w:pos="3765"/>
        </w:tabs>
        <w:rPr>
          <w:sz w:val="24"/>
          <w:szCs w:val="24"/>
        </w:rPr>
      </w:pPr>
    </w:p>
    <w:p w:rsidR="005E0414" w:rsidRDefault="005E0414" w:rsidP="005E0414">
      <w:pPr>
        <w:tabs>
          <w:tab w:val="left" w:pos="720"/>
          <w:tab w:val="left" w:pos="3765"/>
        </w:tabs>
        <w:ind w:left="720"/>
        <w:rPr>
          <w:sz w:val="24"/>
          <w:szCs w:val="24"/>
        </w:rPr>
      </w:pPr>
    </w:p>
    <w:p w:rsidR="005E0414" w:rsidRPr="0029149E" w:rsidRDefault="005E0414" w:rsidP="005E0414">
      <w:pPr>
        <w:rPr>
          <w:b/>
          <w:sz w:val="24"/>
          <w:szCs w:val="24"/>
          <w:u w:val="single"/>
        </w:rPr>
      </w:pPr>
    </w:p>
    <w:p w:rsidR="005E0414" w:rsidRPr="003906D4" w:rsidRDefault="005E0414" w:rsidP="00E21E02">
      <w:pPr>
        <w:pStyle w:val="SBody"/>
        <w:shd w:val="clear" w:color="auto" w:fill="E6E6E6"/>
        <w:spacing w:before="0" w:after="0" w:line="240" w:lineRule="auto"/>
        <w:rPr>
          <w:rFonts w:ascii="Verdana" w:hAnsi="Verdana"/>
          <w:smallCaps/>
          <w:sz w:val="18"/>
          <w:szCs w:val="24"/>
        </w:rPr>
      </w:pPr>
    </w:p>
    <w:p w:rsidR="00E21E02" w:rsidRDefault="00E21E0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82401" w:rsidRDefault="00082401"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82401" w:rsidRDefault="00082401"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82401" w:rsidRDefault="00082401"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82401" w:rsidRDefault="00082401"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82401" w:rsidRDefault="00082401"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82401" w:rsidRDefault="00082401"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82401" w:rsidRDefault="00082401"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82401" w:rsidRDefault="00082401"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3068A" w:rsidRPr="003906D4" w:rsidRDefault="0003068A"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8B2A18" w:rsidRPr="003906D4" w:rsidRDefault="003906D4"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3906D4">
        <w:rPr>
          <w:rFonts w:ascii="Verdana" w:hAnsi="Verdana"/>
          <w:b/>
          <w:smallCaps/>
          <w:sz w:val="18"/>
        </w:rPr>
        <w:lastRenderedPageBreak/>
        <w:t>Topics Covered in the Course</w:t>
      </w:r>
    </w:p>
    <w:p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5C45F3" w:rsidRDefault="005C45F3"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5E0414" w:rsidRPr="002524D1" w:rsidRDefault="005E0414" w:rsidP="005E0414">
      <w:pPr>
        <w:rPr>
          <w:b/>
          <w:bCs/>
          <w:lang w:val="en-GB"/>
        </w:rPr>
      </w:pPr>
    </w:p>
    <w:p w:rsidR="005E0414" w:rsidRDefault="005E0414" w:rsidP="005E0414">
      <w:pPr>
        <w:jc w:val="center"/>
        <w:rPr>
          <w:b/>
          <w:bCs/>
          <w:u w:val="single"/>
          <w:lang w:val="en-GB"/>
        </w:rPr>
      </w:pPr>
    </w:p>
    <w:tbl>
      <w:tblPr>
        <w:tblStyle w:val="TableGrid"/>
        <w:tblW w:w="0" w:type="auto"/>
        <w:jc w:val="center"/>
        <w:tblLook w:val="01E0" w:firstRow="1" w:lastRow="1" w:firstColumn="1" w:lastColumn="1" w:noHBand="0" w:noVBand="0"/>
      </w:tblPr>
      <w:tblGrid>
        <w:gridCol w:w="1834"/>
        <w:gridCol w:w="3005"/>
        <w:gridCol w:w="2320"/>
      </w:tblGrid>
      <w:tr w:rsidR="005E0414" w:rsidTr="005C45F3">
        <w:trPr>
          <w:jc w:val="center"/>
        </w:trPr>
        <w:tc>
          <w:tcPr>
            <w:tcW w:w="1834" w:type="dxa"/>
          </w:tcPr>
          <w:p w:rsidR="005E0414" w:rsidRPr="00F915CA" w:rsidRDefault="005E0414" w:rsidP="005C45F3">
            <w:pPr>
              <w:jc w:val="center"/>
              <w:rPr>
                <w:b/>
                <w:bCs/>
                <w:lang w:val="en-GB"/>
              </w:rPr>
            </w:pPr>
            <w:r>
              <w:rPr>
                <w:b/>
                <w:bCs/>
                <w:lang w:val="en-GB"/>
              </w:rPr>
              <w:t>Sections</w:t>
            </w:r>
          </w:p>
        </w:tc>
        <w:tc>
          <w:tcPr>
            <w:tcW w:w="3005" w:type="dxa"/>
          </w:tcPr>
          <w:p w:rsidR="005E0414" w:rsidRPr="00F915CA" w:rsidRDefault="005E0414" w:rsidP="005C45F3">
            <w:pPr>
              <w:jc w:val="center"/>
              <w:rPr>
                <w:b/>
                <w:bCs/>
                <w:lang w:val="en-GB"/>
              </w:rPr>
            </w:pPr>
            <w:r>
              <w:rPr>
                <w:b/>
                <w:bCs/>
                <w:lang w:val="en-GB"/>
              </w:rPr>
              <w:t>Topics</w:t>
            </w:r>
          </w:p>
        </w:tc>
        <w:tc>
          <w:tcPr>
            <w:tcW w:w="2320" w:type="dxa"/>
          </w:tcPr>
          <w:p w:rsidR="005E0414" w:rsidRDefault="00082401" w:rsidP="005C45F3">
            <w:pPr>
              <w:jc w:val="center"/>
              <w:rPr>
                <w:b/>
                <w:bCs/>
                <w:lang w:val="en-GB"/>
              </w:rPr>
            </w:pPr>
            <w:r>
              <w:rPr>
                <w:b/>
                <w:bCs/>
                <w:lang w:val="en-GB"/>
              </w:rPr>
              <w:t>Sessions</w:t>
            </w:r>
            <w:r>
              <w:rPr>
                <w:rStyle w:val="FootnoteReference"/>
                <w:b/>
                <w:bCs/>
                <w:lang w:val="en-GB"/>
              </w:rPr>
              <w:footnoteReference w:id="1"/>
            </w:r>
          </w:p>
        </w:tc>
      </w:tr>
      <w:tr w:rsidR="005E0414" w:rsidTr="005C45F3">
        <w:trPr>
          <w:jc w:val="center"/>
        </w:trPr>
        <w:tc>
          <w:tcPr>
            <w:tcW w:w="1834" w:type="dxa"/>
          </w:tcPr>
          <w:p w:rsidR="005E0414" w:rsidRPr="00F915CA" w:rsidRDefault="005E2BD1" w:rsidP="005C45F3">
            <w:pPr>
              <w:jc w:val="center"/>
              <w:rPr>
                <w:b/>
                <w:bCs/>
                <w:lang w:val="en-GB"/>
              </w:rPr>
            </w:pPr>
            <w:r>
              <w:rPr>
                <w:b/>
                <w:bCs/>
                <w:lang w:val="en-GB"/>
              </w:rPr>
              <w:t xml:space="preserve">1.1 , </w:t>
            </w:r>
            <w:r w:rsidR="005E0414">
              <w:rPr>
                <w:b/>
                <w:bCs/>
                <w:lang w:val="en-GB"/>
              </w:rPr>
              <w:t xml:space="preserve"> 1.</w:t>
            </w:r>
            <w:r>
              <w:rPr>
                <w:b/>
                <w:bCs/>
                <w:lang w:val="en-GB"/>
              </w:rPr>
              <w:t>3</w:t>
            </w:r>
          </w:p>
        </w:tc>
        <w:tc>
          <w:tcPr>
            <w:tcW w:w="3005" w:type="dxa"/>
          </w:tcPr>
          <w:p w:rsidR="005E0414" w:rsidRPr="00F915CA" w:rsidRDefault="005E0414" w:rsidP="005C45F3">
            <w:pPr>
              <w:jc w:val="center"/>
              <w:rPr>
                <w:lang w:val="en-GB"/>
              </w:rPr>
            </w:pPr>
            <w:r>
              <w:rPr>
                <w:lang w:val="en-GB"/>
              </w:rPr>
              <w:t>Propositional Logic</w:t>
            </w:r>
          </w:p>
        </w:tc>
        <w:tc>
          <w:tcPr>
            <w:tcW w:w="2320" w:type="dxa"/>
          </w:tcPr>
          <w:p w:rsidR="005E0414" w:rsidRDefault="003138F1" w:rsidP="005C45F3">
            <w:pPr>
              <w:jc w:val="center"/>
              <w:rPr>
                <w:lang w:val="en-GB"/>
              </w:rPr>
            </w:pPr>
            <w:r>
              <w:rPr>
                <w:lang w:val="en-GB"/>
              </w:rPr>
              <w:t>4</w:t>
            </w:r>
          </w:p>
        </w:tc>
      </w:tr>
      <w:tr w:rsidR="005E0414" w:rsidTr="005C45F3">
        <w:trPr>
          <w:jc w:val="center"/>
        </w:trPr>
        <w:tc>
          <w:tcPr>
            <w:tcW w:w="1834" w:type="dxa"/>
          </w:tcPr>
          <w:p w:rsidR="005E0414" w:rsidRPr="00F915CA" w:rsidRDefault="005E2BD1" w:rsidP="005C45F3">
            <w:pPr>
              <w:jc w:val="center"/>
              <w:rPr>
                <w:b/>
                <w:bCs/>
                <w:lang w:val="en-GB"/>
              </w:rPr>
            </w:pPr>
            <w:r>
              <w:rPr>
                <w:b/>
                <w:bCs/>
                <w:lang w:val="en-GB"/>
              </w:rPr>
              <w:t xml:space="preserve">1.4 , </w:t>
            </w:r>
            <w:r w:rsidR="005E0414">
              <w:rPr>
                <w:b/>
                <w:bCs/>
                <w:lang w:val="en-GB"/>
              </w:rPr>
              <w:t xml:space="preserve"> 1.</w:t>
            </w:r>
            <w:r>
              <w:rPr>
                <w:b/>
                <w:bCs/>
                <w:lang w:val="en-GB"/>
              </w:rPr>
              <w:t>5</w:t>
            </w:r>
          </w:p>
        </w:tc>
        <w:tc>
          <w:tcPr>
            <w:tcW w:w="3005" w:type="dxa"/>
          </w:tcPr>
          <w:p w:rsidR="005E0414" w:rsidRPr="00BA4877" w:rsidRDefault="005E0414" w:rsidP="005C45F3">
            <w:pPr>
              <w:jc w:val="center"/>
              <w:rPr>
                <w:lang w:val="en-GB"/>
              </w:rPr>
            </w:pPr>
            <w:r>
              <w:rPr>
                <w:lang w:val="en-GB"/>
              </w:rPr>
              <w:t>Quantifiers</w:t>
            </w:r>
          </w:p>
        </w:tc>
        <w:tc>
          <w:tcPr>
            <w:tcW w:w="2320" w:type="dxa"/>
          </w:tcPr>
          <w:p w:rsidR="005E0414" w:rsidRDefault="003138F1" w:rsidP="005C45F3">
            <w:pPr>
              <w:jc w:val="center"/>
              <w:rPr>
                <w:lang w:val="en-GB"/>
              </w:rPr>
            </w:pPr>
            <w:r>
              <w:rPr>
                <w:lang w:val="en-GB"/>
              </w:rPr>
              <w:t>4</w:t>
            </w:r>
          </w:p>
        </w:tc>
      </w:tr>
      <w:tr w:rsidR="005E0414" w:rsidTr="005C45F3">
        <w:trPr>
          <w:jc w:val="center"/>
        </w:trPr>
        <w:tc>
          <w:tcPr>
            <w:tcW w:w="1834" w:type="dxa"/>
          </w:tcPr>
          <w:p w:rsidR="005E0414" w:rsidRPr="00F915CA" w:rsidRDefault="005E2BD1" w:rsidP="005C45F3">
            <w:pPr>
              <w:jc w:val="center"/>
              <w:rPr>
                <w:b/>
                <w:bCs/>
                <w:lang w:val="en-GB"/>
              </w:rPr>
            </w:pPr>
            <w:r>
              <w:rPr>
                <w:b/>
                <w:bCs/>
                <w:lang w:val="en-GB"/>
              </w:rPr>
              <w:t xml:space="preserve">1.8 , </w:t>
            </w:r>
            <w:r w:rsidR="005E0414">
              <w:rPr>
                <w:b/>
                <w:bCs/>
                <w:lang w:val="en-GB"/>
              </w:rPr>
              <w:t xml:space="preserve"> 1.</w:t>
            </w:r>
            <w:r>
              <w:rPr>
                <w:b/>
                <w:bCs/>
                <w:lang w:val="en-GB"/>
              </w:rPr>
              <w:t>9</w:t>
            </w:r>
          </w:p>
        </w:tc>
        <w:tc>
          <w:tcPr>
            <w:tcW w:w="3005" w:type="dxa"/>
          </w:tcPr>
          <w:p w:rsidR="005E0414" w:rsidRPr="00BA4877" w:rsidRDefault="005E0414" w:rsidP="005C45F3">
            <w:pPr>
              <w:jc w:val="center"/>
              <w:rPr>
                <w:lang w:val="en-GB"/>
              </w:rPr>
            </w:pPr>
            <w:r>
              <w:rPr>
                <w:lang w:val="en-GB"/>
              </w:rPr>
              <w:t>Proof Strategies</w:t>
            </w:r>
          </w:p>
        </w:tc>
        <w:tc>
          <w:tcPr>
            <w:tcW w:w="2320" w:type="dxa"/>
          </w:tcPr>
          <w:p w:rsidR="005E0414" w:rsidRDefault="003138F1" w:rsidP="005C45F3">
            <w:pPr>
              <w:jc w:val="center"/>
              <w:rPr>
                <w:lang w:val="en-GB"/>
              </w:rPr>
            </w:pPr>
            <w:r>
              <w:rPr>
                <w:lang w:val="en-GB"/>
              </w:rPr>
              <w:t>3</w:t>
            </w:r>
          </w:p>
        </w:tc>
      </w:tr>
      <w:tr w:rsidR="005E0414" w:rsidTr="005C45F3">
        <w:trPr>
          <w:jc w:val="center"/>
        </w:trPr>
        <w:tc>
          <w:tcPr>
            <w:tcW w:w="1834" w:type="dxa"/>
          </w:tcPr>
          <w:p w:rsidR="005E0414" w:rsidRPr="00F915CA" w:rsidRDefault="005E2BD1" w:rsidP="005C45F3">
            <w:pPr>
              <w:jc w:val="center"/>
              <w:rPr>
                <w:b/>
                <w:bCs/>
                <w:lang w:val="en-GB"/>
              </w:rPr>
            </w:pPr>
            <w:r>
              <w:rPr>
                <w:b/>
                <w:bCs/>
                <w:lang w:val="en-GB"/>
              </w:rPr>
              <w:t xml:space="preserve">2.1 , 2.2 , </w:t>
            </w:r>
            <w:r w:rsidR="005E0414">
              <w:rPr>
                <w:b/>
                <w:bCs/>
                <w:lang w:val="en-GB"/>
              </w:rPr>
              <w:t>2.3</w:t>
            </w:r>
          </w:p>
        </w:tc>
        <w:tc>
          <w:tcPr>
            <w:tcW w:w="3005" w:type="dxa"/>
          </w:tcPr>
          <w:p w:rsidR="005E0414" w:rsidRPr="00BA4877" w:rsidRDefault="005E0414" w:rsidP="005C45F3">
            <w:pPr>
              <w:jc w:val="center"/>
              <w:rPr>
                <w:lang w:val="en-GB"/>
              </w:rPr>
            </w:pPr>
            <w:r>
              <w:rPr>
                <w:lang w:val="en-GB"/>
              </w:rPr>
              <w:t>Sets and Functions</w:t>
            </w:r>
          </w:p>
        </w:tc>
        <w:tc>
          <w:tcPr>
            <w:tcW w:w="2320" w:type="dxa"/>
          </w:tcPr>
          <w:p w:rsidR="005E0414" w:rsidRDefault="005E0414" w:rsidP="005C45F3">
            <w:pPr>
              <w:jc w:val="center"/>
              <w:rPr>
                <w:lang w:val="en-GB"/>
              </w:rPr>
            </w:pPr>
            <w:r>
              <w:rPr>
                <w:lang w:val="en-GB"/>
              </w:rPr>
              <w:t>2</w:t>
            </w:r>
          </w:p>
        </w:tc>
      </w:tr>
      <w:tr w:rsidR="005E0414" w:rsidTr="005C45F3">
        <w:trPr>
          <w:jc w:val="center"/>
        </w:trPr>
        <w:tc>
          <w:tcPr>
            <w:tcW w:w="1834" w:type="dxa"/>
          </w:tcPr>
          <w:p w:rsidR="005E0414" w:rsidRPr="00F915CA" w:rsidRDefault="005E2BD1" w:rsidP="003138F1">
            <w:pPr>
              <w:jc w:val="center"/>
              <w:rPr>
                <w:b/>
                <w:bCs/>
                <w:lang w:val="en-GB"/>
              </w:rPr>
            </w:pPr>
            <w:r>
              <w:rPr>
                <w:b/>
                <w:bCs/>
                <w:lang w:val="en-GB"/>
              </w:rPr>
              <w:t xml:space="preserve">2.4 , </w:t>
            </w:r>
            <w:r w:rsidR="005E0414">
              <w:rPr>
                <w:b/>
                <w:bCs/>
                <w:lang w:val="en-GB"/>
              </w:rPr>
              <w:t xml:space="preserve"> </w:t>
            </w:r>
            <w:r w:rsidR="003138F1">
              <w:rPr>
                <w:b/>
                <w:bCs/>
                <w:lang w:val="en-GB"/>
              </w:rPr>
              <w:t>2.5</w:t>
            </w:r>
          </w:p>
        </w:tc>
        <w:tc>
          <w:tcPr>
            <w:tcW w:w="3005" w:type="dxa"/>
          </w:tcPr>
          <w:p w:rsidR="005E0414" w:rsidRPr="00BA4877" w:rsidRDefault="005E0414" w:rsidP="005C45F3">
            <w:pPr>
              <w:jc w:val="center"/>
              <w:rPr>
                <w:lang w:val="en-GB"/>
              </w:rPr>
            </w:pPr>
            <w:r>
              <w:rPr>
                <w:lang w:val="en-GB"/>
              </w:rPr>
              <w:t>Sequences</w:t>
            </w:r>
          </w:p>
        </w:tc>
        <w:tc>
          <w:tcPr>
            <w:tcW w:w="2320" w:type="dxa"/>
          </w:tcPr>
          <w:p w:rsidR="005E0414" w:rsidRDefault="003138F1" w:rsidP="005C45F3">
            <w:pPr>
              <w:jc w:val="center"/>
              <w:rPr>
                <w:lang w:val="en-GB"/>
              </w:rPr>
            </w:pPr>
            <w:r>
              <w:rPr>
                <w:lang w:val="en-GB"/>
              </w:rPr>
              <w:t>3</w:t>
            </w:r>
          </w:p>
        </w:tc>
      </w:tr>
      <w:tr w:rsidR="003138F1" w:rsidTr="005C45F3">
        <w:trPr>
          <w:jc w:val="center"/>
        </w:trPr>
        <w:tc>
          <w:tcPr>
            <w:tcW w:w="1834" w:type="dxa"/>
          </w:tcPr>
          <w:p w:rsidR="003138F1" w:rsidRDefault="003138F1" w:rsidP="003138F1">
            <w:pPr>
              <w:jc w:val="center"/>
              <w:rPr>
                <w:b/>
                <w:bCs/>
                <w:lang w:val="en-GB"/>
              </w:rPr>
            </w:pPr>
            <w:r>
              <w:rPr>
                <w:b/>
                <w:bCs/>
                <w:lang w:val="en-GB"/>
              </w:rPr>
              <w:t>2.6</w:t>
            </w:r>
          </w:p>
        </w:tc>
        <w:tc>
          <w:tcPr>
            <w:tcW w:w="3005" w:type="dxa"/>
          </w:tcPr>
          <w:p w:rsidR="003138F1" w:rsidRDefault="003138F1" w:rsidP="005C45F3">
            <w:pPr>
              <w:jc w:val="center"/>
              <w:rPr>
                <w:lang w:val="en-GB"/>
              </w:rPr>
            </w:pPr>
            <w:r>
              <w:rPr>
                <w:lang w:val="en-GB"/>
              </w:rPr>
              <w:t>Matrices</w:t>
            </w:r>
          </w:p>
        </w:tc>
        <w:tc>
          <w:tcPr>
            <w:tcW w:w="2320" w:type="dxa"/>
          </w:tcPr>
          <w:p w:rsidR="003138F1" w:rsidRDefault="003138F1" w:rsidP="005C45F3">
            <w:pPr>
              <w:jc w:val="center"/>
              <w:rPr>
                <w:lang w:val="en-GB"/>
              </w:rPr>
            </w:pPr>
            <w:r>
              <w:rPr>
                <w:lang w:val="en-GB"/>
              </w:rPr>
              <w:t>1</w:t>
            </w:r>
          </w:p>
        </w:tc>
      </w:tr>
      <w:tr w:rsidR="005E0414" w:rsidTr="005C45F3">
        <w:trPr>
          <w:jc w:val="center"/>
        </w:trPr>
        <w:tc>
          <w:tcPr>
            <w:tcW w:w="1834" w:type="dxa"/>
          </w:tcPr>
          <w:p w:rsidR="005E0414" w:rsidRPr="00F915CA" w:rsidRDefault="005E2BD1" w:rsidP="003138F1">
            <w:pPr>
              <w:jc w:val="center"/>
              <w:rPr>
                <w:b/>
                <w:bCs/>
                <w:lang w:val="en-GB"/>
              </w:rPr>
            </w:pPr>
            <w:r>
              <w:rPr>
                <w:b/>
                <w:bCs/>
                <w:lang w:val="en-GB"/>
              </w:rPr>
              <w:t xml:space="preserve">3.2,  4.1 </w:t>
            </w:r>
          </w:p>
        </w:tc>
        <w:tc>
          <w:tcPr>
            <w:tcW w:w="3005" w:type="dxa"/>
          </w:tcPr>
          <w:p w:rsidR="005E0414" w:rsidRPr="00BA4877" w:rsidRDefault="005E0414" w:rsidP="003138F1">
            <w:pPr>
              <w:jc w:val="center"/>
              <w:rPr>
                <w:lang w:val="en-GB"/>
              </w:rPr>
            </w:pPr>
            <w:r>
              <w:rPr>
                <w:lang w:val="en-GB"/>
              </w:rPr>
              <w:t xml:space="preserve">Growth of Functions; </w:t>
            </w:r>
          </w:p>
        </w:tc>
        <w:tc>
          <w:tcPr>
            <w:tcW w:w="2320" w:type="dxa"/>
          </w:tcPr>
          <w:p w:rsidR="005E0414" w:rsidRDefault="005E0414" w:rsidP="005C45F3">
            <w:pPr>
              <w:jc w:val="center"/>
              <w:rPr>
                <w:lang w:val="en-GB"/>
              </w:rPr>
            </w:pPr>
            <w:r>
              <w:rPr>
                <w:lang w:val="en-GB"/>
              </w:rPr>
              <w:t>2</w:t>
            </w:r>
          </w:p>
        </w:tc>
      </w:tr>
      <w:tr w:rsidR="003138F1" w:rsidTr="005C45F3">
        <w:trPr>
          <w:jc w:val="center"/>
        </w:trPr>
        <w:tc>
          <w:tcPr>
            <w:tcW w:w="1834" w:type="dxa"/>
          </w:tcPr>
          <w:p w:rsidR="003138F1" w:rsidRDefault="003138F1" w:rsidP="003138F1">
            <w:pPr>
              <w:jc w:val="center"/>
              <w:rPr>
                <w:b/>
                <w:bCs/>
                <w:lang w:val="en-GB"/>
              </w:rPr>
            </w:pPr>
            <w:r>
              <w:rPr>
                <w:b/>
                <w:bCs/>
                <w:lang w:val="en-GB"/>
              </w:rPr>
              <w:t>4.3, 4.4</w:t>
            </w:r>
          </w:p>
        </w:tc>
        <w:tc>
          <w:tcPr>
            <w:tcW w:w="3005" w:type="dxa"/>
          </w:tcPr>
          <w:p w:rsidR="003138F1" w:rsidRDefault="003138F1" w:rsidP="005C45F3">
            <w:pPr>
              <w:jc w:val="center"/>
              <w:rPr>
                <w:lang w:val="en-GB"/>
              </w:rPr>
            </w:pPr>
            <w:r>
              <w:rPr>
                <w:lang w:val="en-GB"/>
              </w:rPr>
              <w:t>Primes and GCD+ congruence</w:t>
            </w:r>
          </w:p>
        </w:tc>
        <w:tc>
          <w:tcPr>
            <w:tcW w:w="2320" w:type="dxa"/>
          </w:tcPr>
          <w:p w:rsidR="003138F1" w:rsidRDefault="003138F1" w:rsidP="005C45F3">
            <w:pPr>
              <w:jc w:val="center"/>
              <w:rPr>
                <w:lang w:val="en-GB"/>
              </w:rPr>
            </w:pPr>
            <w:r>
              <w:rPr>
                <w:lang w:val="en-GB"/>
              </w:rPr>
              <w:t>2</w:t>
            </w:r>
          </w:p>
        </w:tc>
      </w:tr>
      <w:tr w:rsidR="005E0414" w:rsidTr="005C45F3">
        <w:trPr>
          <w:jc w:val="center"/>
        </w:trPr>
        <w:tc>
          <w:tcPr>
            <w:tcW w:w="1834" w:type="dxa"/>
          </w:tcPr>
          <w:p w:rsidR="005E0414" w:rsidRPr="00F915CA" w:rsidRDefault="005E2BD1" w:rsidP="005C45F3">
            <w:pPr>
              <w:jc w:val="center"/>
              <w:rPr>
                <w:b/>
                <w:bCs/>
                <w:lang w:val="en-GB"/>
              </w:rPr>
            </w:pPr>
            <w:r>
              <w:rPr>
                <w:b/>
                <w:bCs/>
                <w:lang w:val="en-GB"/>
              </w:rPr>
              <w:t>5.1 ,  5</w:t>
            </w:r>
            <w:r w:rsidR="005E0414">
              <w:rPr>
                <w:b/>
                <w:bCs/>
                <w:lang w:val="en-GB"/>
              </w:rPr>
              <w:t>.2</w:t>
            </w:r>
          </w:p>
        </w:tc>
        <w:tc>
          <w:tcPr>
            <w:tcW w:w="3005" w:type="dxa"/>
          </w:tcPr>
          <w:p w:rsidR="005E0414" w:rsidRPr="00BA4877" w:rsidRDefault="005E0414" w:rsidP="005C45F3">
            <w:pPr>
              <w:jc w:val="center"/>
              <w:rPr>
                <w:lang w:val="en-GB"/>
              </w:rPr>
            </w:pPr>
            <w:r>
              <w:rPr>
                <w:lang w:val="en-GB"/>
              </w:rPr>
              <w:t>Induction and Recursion</w:t>
            </w:r>
          </w:p>
        </w:tc>
        <w:tc>
          <w:tcPr>
            <w:tcW w:w="2320" w:type="dxa"/>
          </w:tcPr>
          <w:p w:rsidR="005E0414" w:rsidRDefault="003138F1" w:rsidP="005C45F3">
            <w:pPr>
              <w:jc w:val="center"/>
              <w:rPr>
                <w:lang w:val="en-GB"/>
              </w:rPr>
            </w:pPr>
            <w:r>
              <w:rPr>
                <w:lang w:val="en-GB"/>
              </w:rPr>
              <w:t>4</w:t>
            </w:r>
          </w:p>
        </w:tc>
      </w:tr>
      <w:tr w:rsidR="005E0414" w:rsidTr="005C45F3">
        <w:trPr>
          <w:jc w:val="center"/>
        </w:trPr>
        <w:tc>
          <w:tcPr>
            <w:tcW w:w="1834" w:type="dxa"/>
          </w:tcPr>
          <w:p w:rsidR="005E0414" w:rsidRPr="00F915CA" w:rsidRDefault="005E2BD1" w:rsidP="005C45F3">
            <w:pPr>
              <w:jc w:val="center"/>
              <w:rPr>
                <w:b/>
                <w:bCs/>
                <w:lang w:val="en-GB"/>
              </w:rPr>
            </w:pPr>
            <w:r>
              <w:rPr>
                <w:b/>
                <w:bCs/>
                <w:lang w:val="en-GB"/>
              </w:rPr>
              <w:t>6.1 ,  6</w:t>
            </w:r>
            <w:r w:rsidR="005E0414">
              <w:rPr>
                <w:b/>
                <w:bCs/>
                <w:lang w:val="en-GB"/>
              </w:rPr>
              <w:t>.2</w:t>
            </w:r>
          </w:p>
        </w:tc>
        <w:tc>
          <w:tcPr>
            <w:tcW w:w="3005" w:type="dxa"/>
          </w:tcPr>
          <w:p w:rsidR="005E0414" w:rsidRPr="00BA4877" w:rsidRDefault="005E0414" w:rsidP="005C45F3">
            <w:pPr>
              <w:jc w:val="center"/>
              <w:rPr>
                <w:lang w:val="en-GB"/>
              </w:rPr>
            </w:pPr>
            <w:r>
              <w:rPr>
                <w:lang w:val="en-GB"/>
              </w:rPr>
              <w:t>Basics of Counting</w:t>
            </w:r>
            <w:r w:rsidR="003138F1">
              <w:rPr>
                <w:lang w:val="en-GB"/>
              </w:rPr>
              <w:t>+ Pigeonhole Principle</w:t>
            </w:r>
          </w:p>
        </w:tc>
        <w:tc>
          <w:tcPr>
            <w:tcW w:w="2320" w:type="dxa"/>
          </w:tcPr>
          <w:p w:rsidR="005E0414" w:rsidRDefault="003138F1" w:rsidP="005C45F3">
            <w:pPr>
              <w:jc w:val="center"/>
              <w:rPr>
                <w:lang w:val="en-GB"/>
              </w:rPr>
            </w:pPr>
            <w:r>
              <w:rPr>
                <w:lang w:val="en-GB"/>
              </w:rPr>
              <w:t>3</w:t>
            </w:r>
          </w:p>
        </w:tc>
      </w:tr>
      <w:tr w:rsidR="005E0414" w:rsidTr="003138F1">
        <w:trPr>
          <w:trHeight w:val="287"/>
          <w:jc w:val="center"/>
        </w:trPr>
        <w:tc>
          <w:tcPr>
            <w:tcW w:w="1834" w:type="dxa"/>
          </w:tcPr>
          <w:p w:rsidR="005E0414" w:rsidRPr="00F915CA" w:rsidRDefault="005E2BD1" w:rsidP="003138F1">
            <w:pPr>
              <w:jc w:val="center"/>
              <w:rPr>
                <w:b/>
                <w:bCs/>
                <w:lang w:val="en-GB"/>
              </w:rPr>
            </w:pPr>
            <w:r>
              <w:rPr>
                <w:b/>
                <w:bCs/>
                <w:lang w:val="en-GB"/>
              </w:rPr>
              <w:t>6</w:t>
            </w:r>
            <w:r w:rsidR="005E0414">
              <w:rPr>
                <w:b/>
                <w:bCs/>
                <w:lang w:val="en-GB"/>
              </w:rPr>
              <w:t>.3</w:t>
            </w:r>
          </w:p>
        </w:tc>
        <w:tc>
          <w:tcPr>
            <w:tcW w:w="3005" w:type="dxa"/>
          </w:tcPr>
          <w:p w:rsidR="005E0414" w:rsidRPr="00BA4877" w:rsidRDefault="003138F1" w:rsidP="003138F1">
            <w:pPr>
              <w:jc w:val="center"/>
              <w:rPr>
                <w:lang w:val="en-GB"/>
              </w:rPr>
            </w:pPr>
            <w:r>
              <w:rPr>
                <w:lang w:val="en-GB"/>
              </w:rPr>
              <w:t>Permutations and Combinations</w:t>
            </w:r>
          </w:p>
        </w:tc>
        <w:tc>
          <w:tcPr>
            <w:tcW w:w="2320" w:type="dxa"/>
          </w:tcPr>
          <w:p w:rsidR="005E0414" w:rsidRDefault="005E0414" w:rsidP="005C45F3">
            <w:pPr>
              <w:jc w:val="center"/>
              <w:rPr>
                <w:lang w:val="en-GB"/>
              </w:rPr>
            </w:pPr>
            <w:r>
              <w:rPr>
                <w:lang w:val="en-GB"/>
              </w:rPr>
              <w:t>1</w:t>
            </w:r>
          </w:p>
        </w:tc>
      </w:tr>
      <w:tr w:rsidR="005E0414" w:rsidTr="005C45F3">
        <w:trPr>
          <w:jc w:val="center"/>
        </w:trPr>
        <w:tc>
          <w:tcPr>
            <w:tcW w:w="1834" w:type="dxa"/>
          </w:tcPr>
          <w:p w:rsidR="005E0414" w:rsidRPr="00F915CA" w:rsidRDefault="005E2BD1" w:rsidP="005C45F3">
            <w:pPr>
              <w:jc w:val="center"/>
              <w:rPr>
                <w:b/>
                <w:bCs/>
                <w:lang w:val="en-GB"/>
              </w:rPr>
            </w:pPr>
            <w:r>
              <w:rPr>
                <w:b/>
                <w:lang w:val="en-GB"/>
              </w:rPr>
              <w:t>7.1 , 7</w:t>
            </w:r>
            <w:r w:rsidR="005E0414">
              <w:rPr>
                <w:b/>
                <w:lang w:val="en-GB"/>
              </w:rPr>
              <w:t>.2</w:t>
            </w:r>
          </w:p>
        </w:tc>
        <w:tc>
          <w:tcPr>
            <w:tcW w:w="3005" w:type="dxa"/>
          </w:tcPr>
          <w:p w:rsidR="005E0414" w:rsidRPr="00BA4877" w:rsidRDefault="005E0414" w:rsidP="005C45F3">
            <w:pPr>
              <w:jc w:val="center"/>
              <w:rPr>
                <w:lang w:val="en-GB"/>
              </w:rPr>
            </w:pPr>
            <w:r>
              <w:rPr>
                <w:lang w:val="en-GB"/>
              </w:rPr>
              <w:t>Discrete Probability</w:t>
            </w:r>
          </w:p>
        </w:tc>
        <w:tc>
          <w:tcPr>
            <w:tcW w:w="2320" w:type="dxa"/>
          </w:tcPr>
          <w:p w:rsidR="005E0414" w:rsidRDefault="003138F1" w:rsidP="005C45F3">
            <w:pPr>
              <w:jc w:val="center"/>
              <w:rPr>
                <w:lang w:val="en-GB"/>
              </w:rPr>
            </w:pPr>
            <w:r>
              <w:rPr>
                <w:lang w:val="en-GB"/>
              </w:rPr>
              <w:t>3</w:t>
            </w:r>
          </w:p>
        </w:tc>
      </w:tr>
      <w:tr w:rsidR="005E0414" w:rsidTr="005C45F3">
        <w:trPr>
          <w:jc w:val="center"/>
        </w:trPr>
        <w:tc>
          <w:tcPr>
            <w:tcW w:w="1834" w:type="dxa"/>
          </w:tcPr>
          <w:p w:rsidR="005E0414" w:rsidRPr="00C16B0A" w:rsidRDefault="005E2BD1" w:rsidP="003138F1">
            <w:pPr>
              <w:jc w:val="center"/>
              <w:rPr>
                <w:b/>
                <w:lang w:val="en-GB"/>
              </w:rPr>
            </w:pPr>
            <w:r>
              <w:rPr>
                <w:b/>
                <w:lang w:val="en-GB"/>
              </w:rPr>
              <w:t>9</w:t>
            </w:r>
            <w:r w:rsidR="005E0414" w:rsidRPr="003421DD">
              <w:rPr>
                <w:b/>
                <w:lang w:val="en-GB"/>
              </w:rPr>
              <w:t>.1</w:t>
            </w:r>
            <w:r>
              <w:rPr>
                <w:b/>
                <w:lang w:val="en-GB"/>
              </w:rPr>
              <w:t xml:space="preserve"> </w:t>
            </w:r>
          </w:p>
        </w:tc>
        <w:tc>
          <w:tcPr>
            <w:tcW w:w="3005" w:type="dxa"/>
          </w:tcPr>
          <w:p w:rsidR="005E0414" w:rsidRPr="00BA4877" w:rsidRDefault="005E0414" w:rsidP="005C45F3">
            <w:pPr>
              <w:jc w:val="center"/>
              <w:rPr>
                <w:lang w:val="en-GB"/>
              </w:rPr>
            </w:pPr>
            <w:r>
              <w:rPr>
                <w:lang w:val="en-GB"/>
              </w:rPr>
              <w:t>Relations</w:t>
            </w:r>
          </w:p>
        </w:tc>
        <w:tc>
          <w:tcPr>
            <w:tcW w:w="2320" w:type="dxa"/>
          </w:tcPr>
          <w:p w:rsidR="005E0414" w:rsidRDefault="003138F1" w:rsidP="005C45F3">
            <w:pPr>
              <w:jc w:val="center"/>
              <w:rPr>
                <w:lang w:val="en-GB"/>
              </w:rPr>
            </w:pPr>
            <w:r>
              <w:rPr>
                <w:lang w:val="en-GB"/>
              </w:rPr>
              <w:t>1</w:t>
            </w:r>
          </w:p>
        </w:tc>
      </w:tr>
      <w:tr w:rsidR="003138F1" w:rsidTr="005C45F3">
        <w:trPr>
          <w:jc w:val="center"/>
        </w:trPr>
        <w:tc>
          <w:tcPr>
            <w:tcW w:w="1834" w:type="dxa"/>
          </w:tcPr>
          <w:p w:rsidR="003138F1" w:rsidRDefault="003138F1" w:rsidP="003138F1">
            <w:pPr>
              <w:jc w:val="center"/>
              <w:rPr>
                <w:b/>
                <w:lang w:val="en-GB"/>
              </w:rPr>
            </w:pPr>
            <w:r>
              <w:rPr>
                <w:b/>
                <w:lang w:val="en-GB"/>
              </w:rPr>
              <w:t>9.3, 9.5</w:t>
            </w:r>
          </w:p>
        </w:tc>
        <w:tc>
          <w:tcPr>
            <w:tcW w:w="3005" w:type="dxa"/>
          </w:tcPr>
          <w:p w:rsidR="003138F1" w:rsidRDefault="003138F1" w:rsidP="005C45F3">
            <w:pPr>
              <w:jc w:val="center"/>
              <w:rPr>
                <w:lang w:val="en-GB"/>
              </w:rPr>
            </w:pPr>
            <w:r>
              <w:rPr>
                <w:lang w:val="en-GB"/>
              </w:rPr>
              <w:t>Representing relations + Equivalence relations</w:t>
            </w:r>
          </w:p>
        </w:tc>
        <w:tc>
          <w:tcPr>
            <w:tcW w:w="2320" w:type="dxa"/>
          </w:tcPr>
          <w:p w:rsidR="003138F1" w:rsidRDefault="003138F1" w:rsidP="005C45F3">
            <w:pPr>
              <w:jc w:val="center"/>
              <w:rPr>
                <w:lang w:val="en-GB"/>
              </w:rPr>
            </w:pPr>
            <w:r>
              <w:rPr>
                <w:lang w:val="en-GB"/>
              </w:rPr>
              <w:t>4</w:t>
            </w:r>
          </w:p>
        </w:tc>
      </w:tr>
      <w:tr w:rsidR="005E0414" w:rsidTr="005C45F3">
        <w:trPr>
          <w:jc w:val="center"/>
        </w:trPr>
        <w:tc>
          <w:tcPr>
            <w:tcW w:w="1834" w:type="dxa"/>
          </w:tcPr>
          <w:p w:rsidR="005E0414" w:rsidRPr="003421DD" w:rsidRDefault="005E2BD1" w:rsidP="003138F1">
            <w:pPr>
              <w:jc w:val="center"/>
              <w:rPr>
                <w:b/>
                <w:lang w:val="en-GB"/>
              </w:rPr>
            </w:pPr>
            <w:r>
              <w:rPr>
                <w:b/>
                <w:lang w:val="en-GB"/>
              </w:rPr>
              <w:t xml:space="preserve">9.6 </w:t>
            </w:r>
          </w:p>
        </w:tc>
        <w:tc>
          <w:tcPr>
            <w:tcW w:w="3005" w:type="dxa"/>
          </w:tcPr>
          <w:p w:rsidR="005E0414" w:rsidRPr="00BA4877" w:rsidRDefault="005E0414" w:rsidP="005C45F3">
            <w:pPr>
              <w:jc w:val="center"/>
              <w:rPr>
                <w:lang w:val="en-GB"/>
              </w:rPr>
            </w:pPr>
            <w:r>
              <w:rPr>
                <w:lang w:val="en-GB"/>
              </w:rPr>
              <w:t>Partial Ordering</w:t>
            </w:r>
          </w:p>
        </w:tc>
        <w:tc>
          <w:tcPr>
            <w:tcW w:w="2320" w:type="dxa"/>
          </w:tcPr>
          <w:p w:rsidR="005E0414" w:rsidRDefault="003138F1" w:rsidP="005C45F3">
            <w:pPr>
              <w:jc w:val="center"/>
              <w:rPr>
                <w:lang w:val="en-GB"/>
              </w:rPr>
            </w:pPr>
            <w:r>
              <w:rPr>
                <w:lang w:val="en-GB"/>
              </w:rPr>
              <w:t>2</w:t>
            </w:r>
          </w:p>
        </w:tc>
      </w:tr>
      <w:tr w:rsidR="005E0414" w:rsidTr="005C45F3">
        <w:trPr>
          <w:jc w:val="center"/>
        </w:trPr>
        <w:tc>
          <w:tcPr>
            <w:tcW w:w="1834" w:type="dxa"/>
          </w:tcPr>
          <w:p w:rsidR="005E0414" w:rsidRDefault="005E0414" w:rsidP="005C45F3">
            <w:pPr>
              <w:jc w:val="center"/>
              <w:rPr>
                <w:b/>
                <w:lang w:val="en-GB"/>
              </w:rPr>
            </w:pPr>
          </w:p>
        </w:tc>
        <w:tc>
          <w:tcPr>
            <w:tcW w:w="3005" w:type="dxa"/>
          </w:tcPr>
          <w:p w:rsidR="005E0414" w:rsidRDefault="005E0414" w:rsidP="005C45F3">
            <w:pPr>
              <w:jc w:val="center"/>
              <w:rPr>
                <w:lang w:val="en-GB"/>
              </w:rPr>
            </w:pPr>
          </w:p>
        </w:tc>
        <w:tc>
          <w:tcPr>
            <w:tcW w:w="2320" w:type="dxa"/>
          </w:tcPr>
          <w:p w:rsidR="005E0414" w:rsidRDefault="005E0414" w:rsidP="00863647">
            <w:pPr>
              <w:jc w:val="center"/>
              <w:rPr>
                <w:lang w:val="en-GB"/>
              </w:rPr>
            </w:pPr>
            <w:r>
              <w:rPr>
                <w:lang w:val="en-GB"/>
              </w:rPr>
              <w:t xml:space="preserve">Total  = </w:t>
            </w:r>
            <w:r w:rsidR="00863647">
              <w:rPr>
                <w:lang w:val="en-GB"/>
              </w:rPr>
              <w:t xml:space="preserve">40 </w:t>
            </w:r>
          </w:p>
        </w:tc>
      </w:tr>
    </w:tbl>
    <w:p w:rsidR="005F39F0" w:rsidRPr="003906D4" w:rsidRDefault="005F39F0" w:rsidP="008B2A18">
      <w:pPr>
        <w:widowControl w:val="0"/>
        <w:autoSpaceDE w:val="0"/>
        <w:autoSpaceDN w:val="0"/>
        <w:adjustRightInd w:val="0"/>
        <w:rPr>
          <w:rFonts w:ascii="Verdana" w:hAnsi="Verdana" w:cs="TimesNewRoman"/>
          <w:b/>
          <w:smallCaps/>
          <w:sz w:val="18"/>
          <w:szCs w:val="22"/>
          <w:lang w:eastAsia="en-US"/>
        </w:rPr>
      </w:pPr>
    </w:p>
    <w:p w:rsidR="005D74F0" w:rsidRPr="00BA4769" w:rsidRDefault="005D74F0" w:rsidP="005D74F0">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BA4769">
        <w:rPr>
          <w:rFonts w:ascii="Verdana" w:hAnsi="Verdana"/>
          <w:b/>
          <w:smallCaps/>
          <w:sz w:val="18"/>
        </w:rPr>
        <w:t>Policy on Cheating and Plagiarism</w:t>
      </w:r>
    </w:p>
    <w:p w:rsidR="005D74F0" w:rsidRPr="003906D4" w:rsidRDefault="005D74F0" w:rsidP="005D74F0">
      <w:pPr>
        <w:pStyle w:val="BodyText"/>
        <w:tabs>
          <w:tab w:val="left" w:pos="3765"/>
        </w:tabs>
        <w:spacing w:line="240" w:lineRule="auto"/>
        <w:rPr>
          <w:rFonts w:ascii="Verdana" w:hAnsi="Verdana"/>
          <w:sz w:val="18"/>
          <w:szCs w:val="18"/>
        </w:rPr>
      </w:pPr>
      <w:r w:rsidRPr="003906D4">
        <w:rPr>
          <w:rFonts w:ascii="Verdana" w:hAnsi="Verdana"/>
          <w:sz w:val="18"/>
          <w:szCs w:val="18"/>
        </w:rPr>
        <w:t>Students caught cheating on an exam receive a grade of zero on the exam in their first cheating attempt</w:t>
      </w:r>
      <w:r>
        <w:rPr>
          <w:rFonts w:ascii="Verdana" w:hAnsi="Verdana"/>
          <w:sz w:val="18"/>
          <w:szCs w:val="18"/>
        </w:rPr>
        <w:t xml:space="preserve"> </w:t>
      </w:r>
      <w:r w:rsidRPr="003906D4">
        <w:rPr>
          <w:rFonts w:ascii="Verdana" w:hAnsi="Verdana"/>
          <w:sz w:val="18"/>
          <w:szCs w:val="18"/>
        </w:rPr>
        <w:t>and receive a warning. Students caught cheating for the second time will receive a grade of  “F” in the course and another warning.</w:t>
      </w:r>
      <w:r>
        <w:rPr>
          <w:rFonts w:ascii="Verdana" w:hAnsi="Verdana"/>
          <w:sz w:val="18"/>
          <w:szCs w:val="18"/>
        </w:rPr>
        <w:t xml:space="preserve">  </w:t>
      </w:r>
      <w:r w:rsidRPr="003906D4">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5D74F0" w:rsidRPr="003906D4" w:rsidRDefault="005D74F0" w:rsidP="005D74F0">
      <w:pPr>
        <w:pStyle w:val="BodyText"/>
        <w:tabs>
          <w:tab w:val="left" w:pos="3765"/>
        </w:tabs>
        <w:rPr>
          <w:rFonts w:ascii="Verdana" w:hAnsi="Verdana"/>
          <w:sz w:val="18"/>
          <w:szCs w:val="18"/>
        </w:rPr>
      </w:pPr>
    </w:p>
    <w:p w:rsidR="005D74F0" w:rsidRPr="003906D4" w:rsidRDefault="005D74F0" w:rsidP="005D74F0">
      <w:pPr>
        <w:pStyle w:val="Heading4"/>
        <w:shd w:val="clear" w:color="auto" w:fill="E6E6E6"/>
        <w:rPr>
          <w:rFonts w:ascii="Verdana" w:hAnsi="Verdana"/>
          <w:b/>
          <w:bCs/>
          <w:i w:val="0"/>
          <w:smallCaps/>
          <w:szCs w:val="18"/>
        </w:rPr>
      </w:pPr>
      <w:r w:rsidRPr="003906D4">
        <w:rPr>
          <w:rFonts w:ascii="Verdana" w:hAnsi="Verdana"/>
          <w:b/>
          <w:bCs/>
          <w:i w:val="0"/>
          <w:smallCaps/>
          <w:szCs w:val="18"/>
        </w:rPr>
        <w:t>Attendance Policy</w:t>
      </w:r>
    </w:p>
    <w:p w:rsidR="005D74F0" w:rsidRDefault="005D74F0" w:rsidP="005D74F0">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Students are held responsible for all the material presented in the classroom, even during their absence. </w:t>
      </w:r>
    </w:p>
    <w:p w:rsidR="005D74F0" w:rsidRDefault="005D74F0" w:rsidP="005D74F0">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Students can miss no more than the equivalent of five weeks of instruction and still receive credit for that course. </w:t>
      </w:r>
    </w:p>
    <w:p w:rsidR="005D74F0" w:rsidRPr="008F7297" w:rsidRDefault="005D74F0" w:rsidP="005D74F0">
      <w:pPr>
        <w:pStyle w:val="ListParagraph"/>
        <w:numPr>
          <w:ilvl w:val="0"/>
          <w:numId w:val="8"/>
        </w:numPr>
        <w:tabs>
          <w:tab w:val="left" w:pos="3765"/>
        </w:tabs>
        <w:rPr>
          <w:rFonts w:ascii="Verdana" w:hAnsi="Verdana"/>
          <w:sz w:val="18"/>
          <w:szCs w:val="18"/>
        </w:rPr>
      </w:pPr>
      <w:r>
        <w:rPr>
          <w:rFonts w:ascii="Verdana" w:hAnsi="Verdana"/>
          <w:sz w:val="18"/>
          <w:szCs w:val="18"/>
        </w:rPr>
        <w:t>I</w:t>
      </w:r>
      <w:r w:rsidRPr="008F7297">
        <w:rPr>
          <w:rFonts w:ascii="Verdana" w:hAnsi="Verdana"/>
          <w:sz w:val="18"/>
          <w:szCs w:val="18"/>
        </w:rPr>
        <w:t>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rsidR="005D74F0" w:rsidRDefault="005D74F0" w:rsidP="005D74F0">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Instructors will inform the Departments Chairperson and the Guidance Office, of any prolonged unexplained absence. </w:t>
      </w:r>
    </w:p>
    <w:p w:rsidR="00061F26" w:rsidRDefault="005D74F0" w:rsidP="00061F26">
      <w:pPr>
        <w:pStyle w:val="ListParagraph"/>
        <w:numPr>
          <w:ilvl w:val="0"/>
          <w:numId w:val="8"/>
        </w:numPr>
        <w:tabs>
          <w:tab w:val="left" w:pos="3765"/>
        </w:tabs>
        <w:rPr>
          <w:rFonts w:ascii="Verdana" w:hAnsi="Verdana"/>
          <w:sz w:val="18"/>
          <w:szCs w:val="18"/>
        </w:rPr>
      </w:pPr>
      <w:r w:rsidRPr="008F7297">
        <w:rPr>
          <w:rFonts w:ascii="Verdana" w:hAnsi="Verdana"/>
          <w:sz w:val="18"/>
          <w:szCs w:val="18"/>
        </w:rPr>
        <w:t>Students who exceed the allowed number of absences must withdraw from the course; otherwise, the course grade will be recorded as “F” (NP).</w:t>
      </w:r>
    </w:p>
    <w:p w:rsidR="00061F26" w:rsidRDefault="00061F26" w:rsidP="00061F26">
      <w:pPr>
        <w:pStyle w:val="ListParagraph"/>
        <w:tabs>
          <w:tab w:val="left" w:pos="3765"/>
        </w:tabs>
        <w:ind w:left="360"/>
        <w:rPr>
          <w:rFonts w:ascii="Verdana" w:hAnsi="Verdana"/>
          <w:sz w:val="18"/>
          <w:szCs w:val="18"/>
        </w:rPr>
      </w:pPr>
    </w:p>
    <w:p w:rsidR="00061F26" w:rsidRDefault="00061F26" w:rsidP="00061F26">
      <w:pPr>
        <w:shd w:val="clear" w:color="auto" w:fill="E6E6E6"/>
        <w:tabs>
          <w:tab w:val="left" w:pos="720"/>
          <w:tab w:val="left" w:pos="3765"/>
        </w:tabs>
        <w:rPr>
          <w:rFonts w:ascii="Verdana" w:hAnsi="Verdana"/>
          <w:smallCaps/>
          <w:sz w:val="18"/>
          <w:szCs w:val="18"/>
        </w:rPr>
      </w:pPr>
      <w:r>
        <w:rPr>
          <w:rFonts w:ascii="Verdana" w:hAnsi="Verdana"/>
          <w:b/>
          <w:bCs/>
          <w:smallCaps/>
          <w:sz w:val="18"/>
          <w:szCs w:val="18"/>
        </w:rPr>
        <w:t>Withdrawal policy</w:t>
      </w:r>
    </w:p>
    <w:p w:rsidR="00061F26" w:rsidRDefault="00061F26" w:rsidP="00061F26">
      <w:pPr>
        <w:pStyle w:val="ListParagraph"/>
        <w:numPr>
          <w:ilvl w:val="0"/>
          <w:numId w:val="11"/>
        </w:numPr>
        <w:tabs>
          <w:tab w:val="left" w:pos="360"/>
          <w:tab w:val="left" w:pos="3765"/>
        </w:tabs>
        <w:ind w:left="360"/>
        <w:jc w:val="both"/>
        <w:rPr>
          <w:rFonts w:ascii="Verdana" w:hAnsi="Verdana"/>
          <w:sz w:val="18"/>
          <w:szCs w:val="18"/>
        </w:rPr>
      </w:pPr>
      <w:r>
        <w:rPr>
          <w:rFonts w:ascii="Verdana" w:hAnsi="Verdana"/>
          <w:sz w:val="18"/>
          <w:szCs w:val="18"/>
        </w:rPr>
        <w:t xml:space="preserve">1. A student who withdraws after the Drop/Add period and by </w:t>
      </w:r>
      <w:r w:rsidR="00D1120A">
        <w:rPr>
          <w:rFonts w:ascii="Verdana" w:hAnsi="Verdana"/>
          <w:sz w:val="18"/>
          <w:szCs w:val="18"/>
          <w:u w:val="single"/>
        </w:rPr>
        <w:t>October 22</w:t>
      </w:r>
      <w:r>
        <w:rPr>
          <w:rFonts w:ascii="Verdana" w:hAnsi="Verdana"/>
          <w:sz w:val="18"/>
          <w:szCs w:val="18"/>
          <w:u w:val="single"/>
        </w:rPr>
        <w:t>, 2014</w:t>
      </w:r>
      <w:r>
        <w:rPr>
          <w:rFonts w:ascii="Verdana" w:hAnsi="Verdana"/>
          <w:sz w:val="18"/>
          <w:szCs w:val="18"/>
        </w:rPr>
        <w:t xml:space="preserve"> will obtain a “WI” on that particular course.  The student may process such request directly through the Registrar’s Office. WI is equivalent to early withdrawal.</w:t>
      </w:r>
    </w:p>
    <w:p w:rsidR="00061F26" w:rsidRDefault="00061F26" w:rsidP="00061F26">
      <w:pPr>
        <w:pStyle w:val="ListParagraph"/>
        <w:numPr>
          <w:ilvl w:val="0"/>
          <w:numId w:val="11"/>
        </w:numPr>
        <w:tabs>
          <w:tab w:val="left" w:pos="360"/>
          <w:tab w:val="left" w:pos="3765"/>
        </w:tabs>
        <w:ind w:left="360"/>
        <w:jc w:val="both"/>
        <w:rPr>
          <w:rFonts w:ascii="Verdana" w:hAnsi="Verdana"/>
          <w:sz w:val="18"/>
          <w:szCs w:val="18"/>
        </w:rPr>
      </w:pPr>
      <w:r>
        <w:rPr>
          <w:rFonts w:ascii="Verdana" w:hAnsi="Verdana"/>
          <w:sz w:val="18"/>
          <w:szCs w:val="18"/>
        </w:rPr>
        <w:t xml:space="preserve">A student who withdraws </w:t>
      </w:r>
      <w:r>
        <w:rPr>
          <w:rFonts w:ascii="Verdana" w:hAnsi="Verdana"/>
          <w:sz w:val="18"/>
          <w:szCs w:val="18"/>
          <w:u w:val="single"/>
        </w:rPr>
        <w:t xml:space="preserve">between </w:t>
      </w:r>
      <w:r w:rsidR="00D1120A">
        <w:rPr>
          <w:rFonts w:ascii="Verdana" w:hAnsi="Verdana"/>
          <w:sz w:val="18"/>
          <w:szCs w:val="18"/>
          <w:u w:val="single"/>
        </w:rPr>
        <w:t>October 23</w:t>
      </w:r>
      <w:r>
        <w:rPr>
          <w:rFonts w:ascii="Verdana" w:hAnsi="Verdana"/>
          <w:sz w:val="18"/>
          <w:szCs w:val="18"/>
          <w:u w:val="single"/>
        </w:rPr>
        <w:t xml:space="preserve"> and </w:t>
      </w:r>
      <w:r w:rsidR="00D1120A">
        <w:rPr>
          <w:rFonts w:ascii="Verdana" w:hAnsi="Verdana"/>
          <w:sz w:val="18"/>
          <w:szCs w:val="18"/>
          <w:u w:val="single"/>
        </w:rPr>
        <w:t>November 25</w:t>
      </w:r>
      <w:r>
        <w:rPr>
          <w:rFonts w:ascii="Verdana" w:hAnsi="Verdana"/>
          <w:sz w:val="18"/>
          <w:szCs w:val="18"/>
          <w:u w:val="single"/>
        </w:rPr>
        <w:t>, 2014</w:t>
      </w:r>
      <w:r>
        <w:rPr>
          <w:rFonts w:ascii="Verdana" w:hAnsi="Verdana"/>
          <w:sz w:val="18"/>
          <w:szCs w:val="18"/>
        </w:rPr>
        <w:t>, will receive either a “WP” or a “WF”.  “WP” or “WF” will be determined by the instructor based on the achieved academic performance in that course till the time of withdrawal. WP is equivalent to Withdraw/Pass while WF is withdraw/Fail.</w:t>
      </w:r>
    </w:p>
    <w:p w:rsidR="00061F26" w:rsidRDefault="00061F26" w:rsidP="00061F26">
      <w:pPr>
        <w:pStyle w:val="ListParagraph"/>
        <w:numPr>
          <w:ilvl w:val="0"/>
          <w:numId w:val="11"/>
        </w:numPr>
        <w:tabs>
          <w:tab w:val="left" w:pos="360"/>
          <w:tab w:val="left" w:pos="3765"/>
        </w:tabs>
        <w:ind w:left="360"/>
        <w:jc w:val="both"/>
        <w:rPr>
          <w:rFonts w:ascii="Verdana" w:hAnsi="Verdana"/>
          <w:sz w:val="18"/>
          <w:szCs w:val="18"/>
        </w:rPr>
      </w:pPr>
      <w:r>
        <w:rPr>
          <w:rFonts w:ascii="Verdana" w:hAnsi="Verdana"/>
          <w:sz w:val="18"/>
          <w:szCs w:val="18"/>
        </w:rPr>
        <w:t>The “WI” and the “WP” will not count as a repeat; whereas the   “WF” will count as a repeat.</w:t>
      </w:r>
    </w:p>
    <w:p w:rsidR="00061F26" w:rsidRPr="00061F26" w:rsidRDefault="00061F26" w:rsidP="00061F26">
      <w:pPr>
        <w:pStyle w:val="ListParagraph"/>
        <w:tabs>
          <w:tab w:val="left" w:pos="3765"/>
        </w:tabs>
        <w:ind w:left="360"/>
        <w:rPr>
          <w:rFonts w:ascii="Verdana" w:hAnsi="Verdana"/>
          <w:sz w:val="18"/>
          <w:szCs w:val="18"/>
        </w:rPr>
      </w:pPr>
    </w:p>
    <w:p w:rsidR="005D74F0" w:rsidRDefault="005D74F0" w:rsidP="005D74F0">
      <w:pPr>
        <w:shd w:val="clear" w:color="auto" w:fill="E6E6E6"/>
        <w:tabs>
          <w:tab w:val="left" w:pos="720"/>
          <w:tab w:val="left" w:pos="3765"/>
        </w:tabs>
        <w:rPr>
          <w:rFonts w:ascii="Verdana" w:hAnsi="Verdana"/>
          <w:sz w:val="18"/>
          <w:szCs w:val="18"/>
        </w:rPr>
      </w:pPr>
    </w:p>
    <w:sectPr w:rsidR="005D74F0" w:rsidSect="007C594C">
      <w:footerReference w:type="default" r:id="rId9"/>
      <w:headerReference w:type="first" r:id="rId10"/>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2F" w:rsidRDefault="00221A2F" w:rsidP="00A616B5">
      <w:r>
        <w:separator/>
      </w:r>
    </w:p>
  </w:endnote>
  <w:endnote w:type="continuationSeparator" w:id="0">
    <w:p w:rsidR="00221A2F" w:rsidRDefault="00221A2F"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yntaxLTStd-Roman">
    <w:altName w:val="Times New Roman"/>
    <w:panose1 w:val="00000000000000000000"/>
    <w:charset w:val="4D"/>
    <w:family w:val="auto"/>
    <w:notTrueType/>
    <w:pitch w:val="default"/>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F3" w:rsidRPr="005336A8" w:rsidRDefault="005C45F3" w:rsidP="00B545AC">
    <w:pPr>
      <w:pStyle w:val="Footer"/>
      <w:spacing w:line="240" w:lineRule="auto"/>
      <w:jc w:val="left"/>
      <w:rPr>
        <w:rFonts w:ascii="Verdana" w:hAnsi="Verdana"/>
      </w:rPr>
    </w:pPr>
    <w:r w:rsidRPr="005336A8">
      <w:rPr>
        <w:rFonts w:ascii="Verdana" w:hAnsi="Verdana"/>
      </w:rPr>
      <w:t xml:space="preserve">Page </w:t>
    </w:r>
    <w:r w:rsidR="000B24AB" w:rsidRPr="005336A8">
      <w:fldChar w:fldCharType="begin"/>
    </w:r>
    <w:r w:rsidRPr="005336A8">
      <w:rPr>
        <w:rFonts w:ascii="Verdana" w:hAnsi="Verdana"/>
      </w:rPr>
      <w:instrText xml:space="preserve"> PAGE </w:instrText>
    </w:r>
    <w:r w:rsidR="000B24AB" w:rsidRPr="005336A8">
      <w:fldChar w:fldCharType="separate"/>
    </w:r>
    <w:r w:rsidR="00E52DF4">
      <w:rPr>
        <w:rFonts w:ascii="Verdana" w:hAnsi="Verdana"/>
        <w:noProof/>
      </w:rPr>
      <w:t>2</w:t>
    </w:r>
    <w:r w:rsidR="000B24AB" w:rsidRPr="005336A8">
      <w:fldChar w:fldCharType="end"/>
    </w:r>
    <w:r w:rsidRPr="005336A8">
      <w:rPr>
        <w:rFonts w:ascii="Verdana" w:hAnsi="Verdana"/>
      </w:rPr>
      <w:t xml:space="preserve"> of </w:t>
    </w:r>
    <w:r w:rsidR="000B24AB" w:rsidRPr="005336A8">
      <w:fldChar w:fldCharType="begin"/>
    </w:r>
    <w:r w:rsidRPr="005336A8">
      <w:rPr>
        <w:rFonts w:ascii="Verdana" w:hAnsi="Verdana"/>
      </w:rPr>
      <w:instrText xml:space="preserve"> NUMPAGES </w:instrText>
    </w:r>
    <w:r w:rsidR="000B24AB" w:rsidRPr="005336A8">
      <w:fldChar w:fldCharType="separate"/>
    </w:r>
    <w:r w:rsidR="00E52DF4">
      <w:rPr>
        <w:rFonts w:ascii="Verdana" w:hAnsi="Verdana"/>
        <w:noProof/>
      </w:rPr>
      <w:t>2</w:t>
    </w:r>
    <w:r w:rsidR="000B24AB"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236A6202" wp14:editId="433EB03B">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2F" w:rsidRDefault="00221A2F" w:rsidP="00A616B5">
      <w:r>
        <w:separator/>
      </w:r>
    </w:p>
  </w:footnote>
  <w:footnote w:type="continuationSeparator" w:id="0">
    <w:p w:rsidR="00221A2F" w:rsidRDefault="00221A2F" w:rsidP="00A616B5">
      <w:r>
        <w:continuationSeparator/>
      </w:r>
    </w:p>
  </w:footnote>
  <w:footnote w:id="1">
    <w:p w:rsidR="00082401" w:rsidRDefault="00082401">
      <w:pPr>
        <w:pStyle w:val="FootnoteText"/>
      </w:pPr>
      <w:r>
        <w:rPr>
          <w:rStyle w:val="FootnoteReference"/>
        </w:rPr>
        <w:footnoteRef/>
      </w:r>
      <w:r>
        <w:t xml:space="preserve"> This is a tentative table</w:t>
      </w:r>
      <w:r w:rsidR="00784C62">
        <w:t>; check Blackboard</w:t>
      </w:r>
      <w:r w:rsidR="00E52DF4">
        <w:t xml:space="preserve"> </w:t>
      </w:r>
      <w:r w:rsidR="00784C62">
        <w:t>Learn Calendar for updates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F3" w:rsidRDefault="005C45F3">
    <w:pPr>
      <w:pStyle w:val="Header"/>
    </w:pPr>
    <w:r>
      <w:rPr>
        <w:noProof/>
        <w:lang w:eastAsia="en-US"/>
      </w:rPr>
      <w:drawing>
        <wp:anchor distT="0" distB="0" distL="114300" distR="114300" simplePos="0" relativeHeight="251659264" behindDoc="1" locked="0" layoutInCell="1" allowOverlap="1" wp14:anchorId="56FBA88A" wp14:editId="0F7D9F8F">
          <wp:simplePos x="0" y="0"/>
          <wp:positionH relativeFrom="column">
            <wp:posOffset>-1005840</wp:posOffset>
          </wp:positionH>
          <wp:positionV relativeFrom="page">
            <wp:posOffset>0</wp:posOffset>
          </wp:positionV>
          <wp:extent cx="7042584" cy="1371600"/>
          <wp:effectExtent l="25400" t="0" r="0"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4507ADB"/>
    <w:multiLevelType w:val="hybridMultilevel"/>
    <w:tmpl w:val="CC4282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DD21D0D"/>
    <w:multiLevelType w:val="hybridMultilevel"/>
    <w:tmpl w:val="6D8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0786AF9"/>
    <w:multiLevelType w:val="hybridMultilevel"/>
    <w:tmpl w:val="1BE6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9"/>
  </w:num>
  <w:num w:numId="4">
    <w:abstractNumId w:val="1"/>
  </w:num>
  <w:num w:numId="5">
    <w:abstractNumId w:val="6"/>
  </w:num>
  <w:num w:numId="6">
    <w:abstractNumId w:val="4"/>
  </w:num>
  <w:num w:numId="7">
    <w:abstractNumId w:val="5"/>
  </w:num>
  <w:num w:numId="8">
    <w:abstractNumId w:val="0"/>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8"/>
    <w:rsid w:val="00005415"/>
    <w:rsid w:val="000174FB"/>
    <w:rsid w:val="00017671"/>
    <w:rsid w:val="0003068A"/>
    <w:rsid w:val="00037254"/>
    <w:rsid w:val="00044174"/>
    <w:rsid w:val="00061F26"/>
    <w:rsid w:val="00065C83"/>
    <w:rsid w:val="00082401"/>
    <w:rsid w:val="000839F1"/>
    <w:rsid w:val="000A09F4"/>
    <w:rsid w:val="000B24AB"/>
    <w:rsid w:val="000E3525"/>
    <w:rsid w:val="000F4C27"/>
    <w:rsid w:val="00115107"/>
    <w:rsid w:val="00150D39"/>
    <w:rsid w:val="00154944"/>
    <w:rsid w:val="00156E17"/>
    <w:rsid w:val="001763D3"/>
    <w:rsid w:val="0019570C"/>
    <w:rsid w:val="001A1335"/>
    <w:rsid w:val="001A2C44"/>
    <w:rsid w:val="001C5354"/>
    <w:rsid w:val="001D16A6"/>
    <w:rsid w:val="00221A2F"/>
    <w:rsid w:val="002352A2"/>
    <w:rsid w:val="00246379"/>
    <w:rsid w:val="00261AD9"/>
    <w:rsid w:val="0026693E"/>
    <w:rsid w:val="00267617"/>
    <w:rsid w:val="0027432B"/>
    <w:rsid w:val="00276395"/>
    <w:rsid w:val="002872BD"/>
    <w:rsid w:val="002A23C0"/>
    <w:rsid w:val="002C08C1"/>
    <w:rsid w:val="002C3A41"/>
    <w:rsid w:val="002C4273"/>
    <w:rsid w:val="002C7E67"/>
    <w:rsid w:val="002D088C"/>
    <w:rsid w:val="002D43D0"/>
    <w:rsid w:val="002E5608"/>
    <w:rsid w:val="002F17FE"/>
    <w:rsid w:val="0031030B"/>
    <w:rsid w:val="003138F1"/>
    <w:rsid w:val="00320276"/>
    <w:rsid w:val="00323FD3"/>
    <w:rsid w:val="0034005B"/>
    <w:rsid w:val="00354A91"/>
    <w:rsid w:val="003552C6"/>
    <w:rsid w:val="00371ACC"/>
    <w:rsid w:val="0037416F"/>
    <w:rsid w:val="00386ED0"/>
    <w:rsid w:val="003906D4"/>
    <w:rsid w:val="003C1A5D"/>
    <w:rsid w:val="003C4374"/>
    <w:rsid w:val="003C442C"/>
    <w:rsid w:val="003D151D"/>
    <w:rsid w:val="003E1AC4"/>
    <w:rsid w:val="004001A7"/>
    <w:rsid w:val="00402880"/>
    <w:rsid w:val="004354A6"/>
    <w:rsid w:val="00457959"/>
    <w:rsid w:val="004608B3"/>
    <w:rsid w:val="00487980"/>
    <w:rsid w:val="00492C24"/>
    <w:rsid w:val="004D0901"/>
    <w:rsid w:val="004D3E1F"/>
    <w:rsid w:val="004D67BE"/>
    <w:rsid w:val="004E5C31"/>
    <w:rsid w:val="00522202"/>
    <w:rsid w:val="00525613"/>
    <w:rsid w:val="00531DCF"/>
    <w:rsid w:val="00534FA5"/>
    <w:rsid w:val="00536478"/>
    <w:rsid w:val="005532E1"/>
    <w:rsid w:val="005A20D5"/>
    <w:rsid w:val="005B7F6D"/>
    <w:rsid w:val="005C45F3"/>
    <w:rsid w:val="005D74F0"/>
    <w:rsid w:val="005E0414"/>
    <w:rsid w:val="005E13B2"/>
    <w:rsid w:val="005E2BD1"/>
    <w:rsid w:val="005E3EDF"/>
    <w:rsid w:val="005E7228"/>
    <w:rsid w:val="005F014B"/>
    <w:rsid w:val="005F0B44"/>
    <w:rsid w:val="005F39F0"/>
    <w:rsid w:val="005F4415"/>
    <w:rsid w:val="006217DD"/>
    <w:rsid w:val="00625A7B"/>
    <w:rsid w:val="00626E49"/>
    <w:rsid w:val="00645BF6"/>
    <w:rsid w:val="00673FF7"/>
    <w:rsid w:val="00677913"/>
    <w:rsid w:val="006822C7"/>
    <w:rsid w:val="0069063E"/>
    <w:rsid w:val="006968BA"/>
    <w:rsid w:val="006B550D"/>
    <w:rsid w:val="006B5B98"/>
    <w:rsid w:val="006C4FB3"/>
    <w:rsid w:val="006E24EC"/>
    <w:rsid w:val="007237EE"/>
    <w:rsid w:val="007376D1"/>
    <w:rsid w:val="00744C62"/>
    <w:rsid w:val="0075209E"/>
    <w:rsid w:val="0076195F"/>
    <w:rsid w:val="00765AE8"/>
    <w:rsid w:val="00774640"/>
    <w:rsid w:val="00776112"/>
    <w:rsid w:val="00784C62"/>
    <w:rsid w:val="00790D76"/>
    <w:rsid w:val="007C594C"/>
    <w:rsid w:val="007C79E5"/>
    <w:rsid w:val="007D186A"/>
    <w:rsid w:val="007E592F"/>
    <w:rsid w:val="007F4C0B"/>
    <w:rsid w:val="00820DC3"/>
    <w:rsid w:val="00831291"/>
    <w:rsid w:val="00840C27"/>
    <w:rsid w:val="00863647"/>
    <w:rsid w:val="0087238F"/>
    <w:rsid w:val="008A2035"/>
    <w:rsid w:val="008A4087"/>
    <w:rsid w:val="008A4711"/>
    <w:rsid w:val="008B02F1"/>
    <w:rsid w:val="008B2A18"/>
    <w:rsid w:val="008B6B40"/>
    <w:rsid w:val="008C3005"/>
    <w:rsid w:val="008D4378"/>
    <w:rsid w:val="008D5C42"/>
    <w:rsid w:val="008E3D1C"/>
    <w:rsid w:val="008F46EF"/>
    <w:rsid w:val="008F7297"/>
    <w:rsid w:val="009036C4"/>
    <w:rsid w:val="00904D94"/>
    <w:rsid w:val="00907B34"/>
    <w:rsid w:val="009136A3"/>
    <w:rsid w:val="009177D3"/>
    <w:rsid w:val="009223A5"/>
    <w:rsid w:val="009321A3"/>
    <w:rsid w:val="00951CA3"/>
    <w:rsid w:val="00954959"/>
    <w:rsid w:val="00957967"/>
    <w:rsid w:val="009726CB"/>
    <w:rsid w:val="009771C5"/>
    <w:rsid w:val="00994418"/>
    <w:rsid w:val="009A30CB"/>
    <w:rsid w:val="009D1EDF"/>
    <w:rsid w:val="009D7FCE"/>
    <w:rsid w:val="009E7770"/>
    <w:rsid w:val="009F6168"/>
    <w:rsid w:val="00A15C8D"/>
    <w:rsid w:val="00A323B1"/>
    <w:rsid w:val="00A616B5"/>
    <w:rsid w:val="00A624F8"/>
    <w:rsid w:val="00A639AB"/>
    <w:rsid w:val="00A729ED"/>
    <w:rsid w:val="00A77386"/>
    <w:rsid w:val="00A85161"/>
    <w:rsid w:val="00AA11FE"/>
    <w:rsid w:val="00AD22D9"/>
    <w:rsid w:val="00AE05C3"/>
    <w:rsid w:val="00AE3D01"/>
    <w:rsid w:val="00B0227D"/>
    <w:rsid w:val="00B10288"/>
    <w:rsid w:val="00B31E04"/>
    <w:rsid w:val="00B461A9"/>
    <w:rsid w:val="00B478E3"/>
    <w:rsid w:val="00B5282A"/>
    <w:rsid w:val="00B545AC"/>
    <w:rsid w:val="00B56C5B"/>
    <w:rsid w:val="00B64322"/>
    <w:rsid w:val="00B679A4"/>
    <w:rsid w:val="00B7338B"/>
    <w:rsid w:val="00B929B7"/>
    <w:rsid w:val="00BA7AF0"/>
    <w:rsid w:val="00BC46FF"/>
    <w:rsid w:val="00BC5D4E"/>
    <w:rsid w:val="00BD7B9D"/>
    <w:rsid w:val="00BF3EBA"/>
    <w:rsid w:val="00BF4746"/>
    <w:rsid w:val="00C00050"/>
    <w:rsid w:val="00C01356"/>
    <w:rsid w:val="00C07BF3"/>
    <w:rsid w:val="00C2745A"/>
    <w:rsid w:val="00C357C8"/>
    <w:rsid w:val="00C504BB"/>
    <w:rsid w:val="00C63D21"/>
    <w:rsid w:val="00C65FD2"/>
    <w:rsid w:val="00C7572C"/>
    <w:rsid w:val="00CC201C"/>
    <w:rsid w:val="00CC4F3D"/>
    <w:rsid w:val="00CE1F09"/>
    <w:rsid w:val="00CE4215"/>
    <w:rsid w:val="00D1120A"/>
    <w:rsid w:val="00D20552"/>
    <w:rsid w:val="00D2176C"/>
    <w:rsid w:val="00D2680C"/>
    <w:rsid w:val="00D30931"/>
    <w:rsid w:val="00D868EF"/>
    <w:rsid w:val="00DC749A"/>
    <w:rsid w:val="00DC787D"/>
    <w:rsid w:val="00DD3189"/>
    <w:rsid w:val="00E21E02"/>
    <w:rsid w:val="00E52689"/>
    <w:rsid w:val="00E52DF4"/>
    <w:rsid w:val="00E64C3A"/>
    <w:rsid w:val="00E72637"/>
    <w:rsid w:val="00E72A15"/>
    <w:rsid w:val="00E77159"/>
    <w:rsid w:val="00EA447F"/>
    <w:rsid w:val="00EB551C"/>
    <w:rsid w:val="00EC15E2"/>
    <w:rsid w:val="00F35105"/>
    <w:rsid w:val="00F456ED"/>
    <w:rsid w:val="00F45976"/>
    <w:rsid w:val="00F46942"/>
    <w:rsid w:val="00F72674"/>
    <w:rsid w:val="00F770F6"/>
    <w:rsid w:val="00F921C1"/>
    <w:rsid w:val="00FF5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Cat-CourseSwitches">
    <w:name w:val="Cat- Course Switches"/>
    <w:rsid w:val="00276395"/>
    <w:rPr>
      <w:rFonts w:ascii="SyntaxLTStd-Roman" w:hAnsi="SyntaxLTStd-Roman"/>
      <w:sz w:val="16"/>
    </w:rPr>
  </w:style>
  <w:style w:type="paragraph" w:styleId="FootnoteText">
    <w:name w:val="footnote text"/>
    <w:basedOn w:val="Normal"/>
    <w:link w:val="FootnoteTextChar"/>
    <w:uiPriority w:val="99"/>
    <w:semiHidden/>
    <w:unhideWhenUsed/>
    <w:rsid w:val="00082401"/>
  </w:style>
  <w:style w:type="character" w:customStyle="1" w:styleId="FootnoteTextChar">
    <w:name w:val="Footnote Text Char"/>
    <w:basedOn w:val="DefaultParagraphFont"/>
    <w:link w:val="FootnoteText"/>
    <w:uiPriority w:val="99"/>
    <w:semiHidden/>
    <w:rsid w:val="00082401"/>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0824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Cat-CourseSwitches">
    <w:name w:val="Cat- Course Switches"/>
    <w:rsid w:val="00276395"/>
    <w:rPr>
      <w:rFonts w:ascii="SyntaxLTStd-Roman" w:hAnsi="SyntaxLTStd-Roman"/>
      <w:sz w:val="16"/>
    </w:rPr>
  </w:style>
  <w:style w:type="paragraph" w:styleId="FootnoteText">
    <w:name w:val="footnote text"/>
    <w:basedOn w:val="Normal"/>
    <w:link w:val="FootnoteTextChar"/>
    <w:uiPriority w:val="99"/>
    <w:semiHidden/>
    <w:unhideWhenUsed/>
    <w:rsid w:val="00082401"/>
  </w:style>
  <w:style w:type="character" w:customStyle="1" w:styleId="FootnoteTextChar">
    <w:name w:val="Footnote Text Char"/>
    <w:basedOn w:val="DefaultParagraphFont"/>
    <w:link w:val="FootnoteText"/>
    <w:uiPriority w:val="99"/>
    <w:semiHidden/>
    <w:rsid w:val="00082401"/>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082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 w:id="20720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2590-F1F0-4336-957A-3736F9EB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Samer S. Habre</cp:lastModifiedBy>
  <cp:revision>12</cp:revision>
  <cp:lastPrinted>2014-09-11T06:21:00Z</cp:lastPrinted>
  <dcterms:created xsi:type="dcterms:W3CDTF">2014-09-08T11:01:00Z</dcterms:created>
  <dcterms:modified xsi:type="dcterms:W3CDTF">2014-09-11T07:59:00Z</dcterms:modified>
</cp:coreProperties>
</file>